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44" w:rsidRDefault="00F72444" w:rsidP="00F72444">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F72444" w:rsidRDefault="00F72444" w:rsidP="00F7244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F72444" w:rsidRDefault="00F72444" w:rsidP="00F72444">
      <w:pPr>
        <w:pStyle w:val="affb"/>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EC0937" w:rsidRDefault="00EC0937"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EC0937" w:rsidP="002A6865">
      <w:pPr>
        <w:spacing w:after="0" w:line="100" w:lineRule="atLeast"/>
        <w:jc w:val="center"/>
        <w:outlineLvl w:val="0"/>
        <w:rPr>
          <w:rFonts w:ascii="Times New Roman" w:hAnsi="Times New Roman" w:cs="Calibri"/>
          <w:sz w:val="32"/>
          <w:szCs w:val="32"/>
        </w:rPr>
      </w:pPr>
      <w:r w:rsidRPr="002A6865">
        <w:rPr>
          <w:rFonts w:ascii="Times New Roman" w:hAnsi="Times New Roman" w:cs="Times New Roman"/>
          <w:b/>
          <w:sz w:val="32"/>
          <w:szCs w:val="32"/>
        </w:rPr>
        <w:t>Примерная</w:t>
      </w:r>
      <w:r w:rsidR="002A6865">
        <w:rPr>
          <w:rFonts w:ascii="Times New Roman" w:hAnsi="Times New Roman" w:cs="Times New Roman"/>
          <w:b/>
          <w:sz w:val="32"/>
          <w:szCs w:val="32"/>
        </w:rPr>
        <w:br/>
      </w:r>
      <w:r w:rsidRPr="002A6865">
        <w:rPr>
          <w:rFonts w:ascii="Times New Roman" w:hAnsi="Times New Roman" w:cs="Times New Roman"/>
          <w:b/>
          <w:sz w:val="32"/>
          <w:szCs w:val="32"/>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1"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EndPr/>
      <w:sdtContent>
        <w:p w:rsidR="00454BF9" w:rsidRPr="00542AEB" w:rsidRDefault="00454BF9">
          <w:pPr>
            <w:pStyle w:val="aff0"/>
            <w:rPr>
              <w:rFonts w:cs="Times New Roman"/>
            </w:rPr>
          </w:pPr>
        </w:p>
        <w:p w:rsidR="00274658" w:rsidRPr="00A31207" w:rsidRDefault="00436FCF">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436FCF" w:rsidRPr="00A31207">
            <w:rPr>
              <w:rFonts w:ascii="Times New Roman" w:hAnsi="Times New Roman" w:cs="Times New Roman"/>
              <w:b/>
              <w:noProof/>
              <w:sz w:val="28"/>
              <w:szCs w:val="28"/>
            </w:rPr>
            <w:fldChar w:fldCharType="end"/>
          </w:r>
        </w:p>
        <w:p w:rsidR="004933BE" w:rsidRPr="00100BD3" w:rsidRDefault="00436FCF"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2" w:name="_Toc289117660"/>
      <w:r>
        <w:lastRenderedPageBreak/>
        <w:t>1. ОБЩИЕ ПОЛОЖЕНИЯ</w:t>
      </w:r>
      <w:bookmarkEnd w:id="1"/>
      <w:bookmarkEnd w:id="2"/>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3" w:name="_Toc413974291"/>
      <w:bookmarkStart w:id="4" w:name="_Toc289117661"/>
      <w:r w:rsidR="004933BE" w:rsidRPr="004933BE">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rsidR="00EC0937" w:rsidRPr="00E175CD" w:rsidRDefault="00EC0937" w:rsidP="00E175CD">
      <w:pPr>
        <w:pStyle w:val="3"/>
        <w:jc w:val="center"/>
        <w:rPr>
          <w:rFonts w:ascii="Times New Roman" w:hAnsi="Times New Roman" w:cs="Times New Roman"/>
          <w:i w:val="0"/>
        </w:rPr>
      </w:pPr>
      <w:bookmarkStart w:id="7" w:name="_Toc413974293"/>
      <w:bookmarkStart w:id="8" w:name="_Toc289117663"/>
      <w:r w:rsidRPr="00E175CD">
        <w:rPr>
          <w:rFonts w:ascii="Times New Roman" w:hAnsi="Times New Roman" w:cs="Times New Roman"/>
          <w:i w:val="0"/>
        </w:rPr>
        <w:t>2.1.1. Пояснительная записка</w:t>
      </w:r>
      <w:bookmarkEnd w:id="7"/>
      <w:bookmarkEnd w:id="8"/>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Эти 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FB7971">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FB7971">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9" w:name="_Toc413974294"/>
      <w:bookmarkStart w:id="10"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9"/>
      <w:bookmarkEnd w:id="10"/>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1" w:name="_Toc413974295"/>
      <w:bookmarkStart w:id="12" w:name="_Toc289117665"/>
      <w:r w:rsidRPr="00B6459E">
        <w:rPr>
          <w:rFonts w:ascii="Times New Roman" w:hAnsi="Times New Roman" w:cs="Times New Roman"/>
          <w:i w:val="0"/>
        </w:rPr>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5" w:name="_Toc413974297"/>
      <w:bookmarkStart w:id="16" w:name="_Toc289117667"/>
      <w:r w:rsidRPr="00B6459E">
        <w:rPr>
          <w:rFonts w:ascii="Times New Roman" w:hAnsi="Times New Roman" w:cs="Times New Roman"/>
          <w:i w:val="0"/>
        </w:rPr>
        <w:t>2.2.1. Направление и содержание программы коррекционной работы</w:t>
      </w:r>
      <w:bookmarkEnd w:id="15"/>
      <w:bookmarkEnd w:id="16"/>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rsidR="00EC0937" w:rsidRPr="00B6459E" w:rsidRDefault="00EC0937" w:rsidP="00B6459E">
      <w:pPr>
        <w:pStyle w:val="3"/>
        <w:jc w:val="center"/>
        <w:rPr>
          <w:rFonts w:ascii="Times New Roman" w:hAnsi="Times New Roman" w:cs="Times New Roman"/>
          <w:i w:val="0"/>
        </w:rPr>
      </w:pPr>
      <w:bookmarkStart w:id="19" w:name="_Toc413974299"/>
      <w:bookmarkStart w:id="20" w:name="_Toc289117669"/>
      <w:r w:rsidRPr="00B6459E">
        <w:rPr>
          <w:rFonts w:ascii="Times New Roman" w:hAnsi="Times New Roman" w:cs="Times New Roman"/>
          <w:i w:val="0"/>
        </w:rPr>
        <w:t>2.3.1. Учебный план</w:t>
      </w:r>
      <w:bookmarkEnd w:id="19"/>
      <w:bookmarkEnd w:id="20"/>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1" w:name="_Toc413974300"/>
      <w:bookmarkStart w:id="22"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cs="Times New Roman"/>
          <w:i w:val="0"/>
        </w:rPr>
        <w:t>нарушениями опорно-двигательного аппарата</w:t>
      </w:r>
      <w:bookmarkEnd w:id="22"/>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9"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3" w:name="_Toc289117671"/>
      <w:bookmarkStart w:id="24" w:name="bookmark2"/>
      <w:r>
        <w:br w:type="page"/>
      </w:r>
    </w:p>
    <w:p w:rsidR="00C1587E" w:rsidRPr="004933BE" w:rsidRDefault="004933BE" w:rsidP="004933BE">
      <w:pPr>
        <w:pStyle w:val="1"/>
      </w:pPr>
      <w:r w:rsidRPr="004933BE">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rsidR="00C1587E" w:rsidRPr="00CF110B" w:rsidRDefault="00C1587E" w:rsidP="00CF110B">
      <w:pPr>
        <w:pStyle w:val="3"/>
        <w:jc w:val="center"/>
        <w:rPr>
          <w:rFonts w:ascii="Times New Roman" w:hAnsi="Times New Roman" w:cs="Times New Roman"/>
          <w:i w:val="0"/>
        </w:rPr>
      </w:pPr>
      <w:bookmarkStart w:id="26" w:name="bookmark3"/>
      <w:bookmarkStart w:id="27" w:name="_Toc289117673"/>
      <w:r w:rsidRPr="00CF110B">
        <w:rPr>
          <w:rFonts w:ascii="Times New Roman" w:hAnsi="Times New Roman" w:cs="Times New Roman"/>
          <w:i w:val="0"/>
        </w:rPr>
        <w:t>3.1.1. Пояснительная записка</w:t>
      </w:r>
      <w:bookmarkEnd w:id="26"/>
      <w:bookmarkEnd w:id="27"/>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0"/>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1"/>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3"/>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9"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rsidR="00C1587E" w:rsidRPr="00234AB5" w:rsidRDefault="00C1587E" w:rsidP="00234AB5">
      <w:pPr>
        <w:pStyle w:val="3"/>
        <w:jc w:val="center"/>
        <w:rPr>
          <w:rFonts w:ascii="Times New Roman" w:hAnsi="Times New Roman" w:cs="Times New Roman"/>
          <w:i w:val="0"/>
        </w:rPr>
      </w:pPr>
      <w:bookmarkStart w:id="31" w:name="_Toc289117677"/>
      <w:r w:rsidRPr="00234AB5">
        <w:rPr>
          <w:rFonts w:ascii="Times New Roman" w:hAnsi="Times New Roman" w:cs="Times New Roman"/>
          <w:i w:val="0"/>
        </w:rPr>
        <w:t>3.2.1. Программа формирования универсальных учебных действий</w:t>
      </w:r>
      <w:bookmarkEnd w:id="3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2"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3" w:name="_Toc289117679"/>
      <w:r w:rsidRPr="00A43D85">
        <w:rPr>
          <w:rFonts w:ascii="Times New Roman" w:hAnsi="Times New Roman" w:cs="Times New Roman"/>
          <w:i w:val="0"/>
        </w:rPr>
        <w:t>3.2.3. Программа духовно-нравственного развития, воспитания</w:t>
      </w:r>
      <w:bookmarkEnd w:id="3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0"/>
      <w:r w:rsidRPr="00A43D85">
        <w:rPr>
          <w:rFonts w:ascii="Times New Roman" w:hAnsi="Times New Roman" w:cs="Times New Roman"/>
          <w:i w:val="0"/>
        </w:rPr>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5" w:name="_Toc289117681"/>
      <w:r w:rsidRPr="00A43D85">
        <w:rPr>
          <w:rFonts w:ascii="Times New Roman" w:hAnsi="Times New Roman" w:cs="Times New Roman"/>
          <w:i w:val="0"/>
        </w:rPr>
        <w:t>3.2.5. Программа коррекционной работы</w:t>
      </w:r>
      <w:bookmarkEnd w:id="3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6" w:name="_Toc289117682"/>
      <w:r w:rsidRPr="00A43D85">
        <w:rPr>
          <w:rFonts w:ascii="Times New Roman" w:hAnsi="Times New Roman" w:cs="Times New Roman"/>
          <w:i w:val="0"/>
        </w:rPr>
        <w:t>3.2.6. Программа внеурочной деятельности</w:t>
      </w:r>
      <w:bookmarkEnd w:id="3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40"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4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1" w:name="_Toc289117686"/>
      <w:r w:rsidRPr="004933BE">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rsidR="00106589" w:rsidRPr="007B24AB" w:rsidRDefault="00106589" w:rsidP="007B24AB">
      <w:pPr>
        <w:pStyle w:val="3"/>
        <w:jc w:val="center"/>
        <w:rPr>
          <w:rFonts w:ascii="Times New Roman" w:hAnsi="Times New Roman" w:cs="Times New Roman"/>
          <w:i w:val="0"/>
        </w:rPr>
      </w:pPr>
      <w:bookmarkStart w:id="43" w:name="_Toc289117688"/>
      <w:r w:rsidRPr="007B24AB">
        <w:rPr>
          <w:rFonts w:ascii="Times New Roman" w:hAnsi="Times New Roman" w:cs="Times New Roman"/>
          <w:i w:val="0"/>
        </w:rPr>
        <w:t>4.1.1. Пояснительная записка</w:t>
      </w:r>
      <w:bookmarkEnd w:id="43"/>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4"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5"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rsidR="00561B80" w:rsidRPr="005550FB" w:rsidRDefault="00561B80" w:rsidP="005550FB">
      <w:pPr>
        <w:pStyle w:val="3"/>
        <w:jc w:val="center"/>
        <w:rPr>
          <w:rFonts w:ascii="Times New Roman" w:hAnsi="Times New Roman" w:cs="Times New Roman"/>
          <w:i w:val="0"/>
        </w:rPr>
      </w:pPr>
      <w:bookmarkStart w:id="47"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7"/>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8"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8"/>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9"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9"/>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рограммы должны быть положены ключевые 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1"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Закона РФ.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2"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37" w:rsidRDefault="00525937" w:rsidP="00EC0937">
      <w:pPr>
        <w:spacing w:after="0" w:line="240" w:lineRule="auto"/>
      </w:pPr>
      <w:r>
        <w:separator/>
      </w:r>
    </w:p>
  </w:endnote>
  <w:endnote w:type="continuationSeparator" w:id="0">
    <w:p w:rsidR="00525937" w:rsidRDefault="00525937"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panose1 w:val="020B0604020202020204"/>
    <w:charset w:val="00"/>
    <w:family w:val="auto"/>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DejaVu Sans">
    <w:panose1 w:val="020B0603030804020204"/>
    <w:charset w:val="CC"/>
    <w:family w:val="swiss"/>
    <w:pitch w:val="variable"/>
    <w:sig w:usb0="E7002EFF" w:usb1="D200FDFF" w:usb2="0A042029" w:usb3="00000000" w:csb0="800001FF" w:csb1="00000000"/>
  </w:font>
  <w:font w:name="font220">
    <w:altName w:val="MS Mincho"/>
    <w:charset w:val="80"/>
    <w:family w:val="auto"/>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CE088B" w:rsidRDefault="00436FCF">
        <w:pPr>
          <w:pStyle w:val="af4"/>
          <w:jc w:val="center"/>
        </w:pPr>
        <w:r>
          <w:fldChar w:fldCharType="begin"/>
        </w:r>
        <w:r w:rsidR="00E77917">
          <w:instrText xml:space="preserve"> PAGE   \* MERGEFORMAT </w:instrText>
        </w:r>
        <w:r>
          <w:fldChar w:fldCharType="separate"/>
        </w:r>
        <w:r w:rsidR="00FB7971">
          <w:rPr>
            <w:noProof/>
          </w:rPr>
          <w:t>8</w:t>
        </w:r>
        <w:r>
          <w:rPr>
            <w:noProof/>
          </w:rPr>
          <w:fldChar w:fldCharType="end"/>
        </w:r>
      </w:p>
    </w:sdtContent>
  </w:sdt>
  <w:p w:rsidR="00CE088B" w:rsidRDefault="00CE08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37" w:rsidRDefault="00525937" w:rsidP="00EC0937">
      <w:pPr>
        <w:spacing w:after="0" w:line="240" w:lineRule="auto"/>
      </w:pPr>
      <w:r>
        <w:separator/>
      </w:r>
    </w:p>
  </w:footnote>
  <w:footnote w:type="continuationSeparator" w:id="0">
    <w:p w:rsidR="00525937" w:rsidRDefault="00525937"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5937"/>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B7971"/>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44;&#1048;&#1053;&#1040;&#1052;&#1048;&#1050;&#1040;\Downloads\&#1060;&#1043;&#1054;&#1057;_&#1054;&#1042;&#1047;_&#1089;&#1083;&#1072;&#1073;&#1086;&#1089;&#1083;_19.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7CE0-DE4C-4C2C-B3FC-14CAE621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0</TotalTime>
  <Pages>9</Pages>
  <Words>49300</Words>
  <Characters>281010</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RTF</cp:lastModifiedBy>
  <cp:revision>2</cp:revision>
  <cp:lastPrinted>2015-10-08T11:27:00Z</cp:lastPrinted>
  <dcterms:created xsi:type="dcterms:W3CDTF">2017-10-03T05:19:00Z</dcterms:created>
  <dcterms:modified xsi:type="dcterms:W3CDTF">2017-10-03T05:19:00Z</dcterms:modified>
</cp:coreProperties>
</file>