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91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оргкомитетом городского профессионального конкурса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0"/>
        <w:jc w:val="right"/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pP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  <w:t xml:space="preserve"> «Конкурс профессионального мастерства специалистов </w:t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</w:p>
    <w:p>
      <w:pPr>
        <w:pStyle w:val="900"/>
        <w:jc w:val="right"/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pP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  <w:t xml:space="preserve">сопровождения образовательного процесса </w:t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</w:p>
    <w:p>
      <w:pPr>
        <w:pStyle w:val="900"/>
        <w:jc w:val="right"/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pP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  <w:t xml:space="preserve">(педагогов-психологов,учителей-дефектологов)»</w:t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  <w:r>
        <w:rPr>
          <w:rFonts w:ascii="Times New Roman" w:hAnsi="Times New Roman" w:eastAsiaTheme="minorHAnsi" w:cstheme="minorBidi"/>
          <w:b w:val="0"/>
          <w:bCs w:val="0"/>
          <w:sz w:val="24"/>
          <w:szCs w:val="24"/>
          <w:lang w:eastAsia="en-US"/>
        </w:rPr>
      </w:r>
    </w:p>
    <w:p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Протокол №  1  от </w:t>
      </w:r>
      <w:r>
        <w:rPr>
          <w:rFonts w:ascii="Times New Roman" w:hAnsi="Times New Roman"/>
          <w:sz w:val="24"/>
          <w:szCs w:val="24"/>
          <w:lang w:val="en-US"/>
        </w:rPr>
        <w:t xml:space="preserve">11</w:t>
      </w:r>
      <w:r>
        <w:rPr>
          <w:rFonts w:ascii="Times New Roman" w:hAnsi="Times New Roman"/>
          <w:sz w:val="24"/>
          <w:szCs w:val="24"/>
        </w:rPr>
        <w:t xml:space="preserve">.1</w:t>
      </w:r>
      <w:r>
        <w:rPr>
          <w:rFonts w:ascii="Times New Roman" w:hAnsi="Times New Roman"/>
          <w:sz w:val="24"/>
          <w:szCs w:val="24"/>
          <w:lang w:val="en-US"/>
        </w:rPr>
        <w:t xml:space="preserve">1</w:t>
      </w:r>
      <w:r>
        <w:rPr>
          <w:rFonts w:ascii="Times New Roman" w:hAnsi="Times New Roman"/>
          <w:sz w:val="24"/>
          <w:szCs w:val="24"/>
        </w:rPr>
        <w:t xml:space="preserve">.2024 г.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9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9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и критерии оценки испытаний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профессионального конкурса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«Конкурс профессионального мастерства специалистов сопровождения образовательного процесса (педагог-психолог, учитель-дефектолог)»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Городской профессиональный конкурс  «Конкурс профессионального мастерства специалистов  сопровождения образовательного процесса (педагогов-психологов, учителей-дефектологов)» (далее − Конкурс)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проводится по двум номинациям: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«Лучший педагог-психолог»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 «Лучший учитель-дефектолог»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состоит из двух этапов: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первый этап: отборочный этап проводится в заочной форме;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второй этап: основной этап проводится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очной форме или дистанционном формате в онлайн-режиме (на основании решения Оргкомитета).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2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Место проведения Конкурса, утверждается Оргкомитетом.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90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Отборочный этап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</w:r>
    </w:p>
    <w:p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онкурсное испытание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«Визитная карточка»</w:t>
      </w:r>
      <w:r>
        <w:rPr>
          <w:rFonts w:ascii="Times New Roman" w:hAnsi="Times New Roman" w:cs="Times New Roman"/>
          <w:sz w:val="28"/>
          <w:szCs w:val="28"/>
        </w:rPr>
        <w:t xml:space="preserve"> (демонстрация конкурсантом </w:t>
      </w:r>
      <w:r>
        <w:rPr>
          <w:rFonts w:ascii="Times New Roman" w:hAnsi="Times New Roman" w:cs="Times New Roman"/>
          <w:sz w:val="28"/>
          <w:szCs w:val="28"/>
        </w:rPr>
        <w:t xml:space="preserve">наиболее значимых аспектов своей профессиональной деятельности и педагогической индивидуальности в контексте особенностей образовательной организации, в которой он работает; его учебную, воспитательную и общественную деятельность, достижения и увлечения).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Формат:</w:t>
      </w:r>
      <w:r>
        <w:rPr>
          <w:rFonts w:ascii="Times New Roman" w:hAnsi="Times New Roman" w:cs="Times New Roman"/>
          <w:sz w:val="28"/>
          <w:szCs w:val="28"/>
        </w:rPr>
        <w:t xml:space="preserve"> видеоролик.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Технические требования: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видеоролик должен иметь качественный звук и изображение; разрешение видеоролика – не менее 1920х1080; горизонтальная съемка; длительность – не более трех минут; формат видеоролика – .mov или .mp4.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891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Видеоролик должен иметь заставку, содержащую сведения о конкурсанте (ФИО и должность участника, наименование образовательного учреждения, в которо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работает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конкурсант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891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Видеоролик необходимо загрузить на облачны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сервис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 открытым доступом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 Ссылку на видеоролик необходимо добавить в информационную карту, раздел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«дополнительная информация»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 ссылка на </w:t>
      </w:r>
      <w:r>
        <w:rPr>
          <w:rFonts w:ascii="Times New Roman" w:hAnsi="Times New Roman" w:cs="Times New Roman"/>
          <w:sz w:val="28"/>
          <w:szCs w:val="28"/>
        </w:rPr>
        <w:t xml:space="preserve">«Визитную карточку». Видеоролик должен быть доступен в течение трех месяцев.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Содержание видеоролика должно включать: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91"/>
        <w:numPr>
          <w:ilvl w:val="0"/>
          <w:numId w:val="15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представление участника представителем администрации образовательного учреждения;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91"/>
        <w:numPr>
          <w:ilvl w:val="0"/>
          <w:numId w:val="15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ответ конкурсанта на вопрос «Я и моя профессия в современном мире».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оценивания конкурсного испытания:</w:t>
      </w:r>
      <w:r>
        <w:rPr>
          <w:rFonts w:ascii="Times New Roman" w:hAnsi="Times New Roman" w:cs="Times New Roman"/>
          <w:sz w:val="28"/>
          <w:szCs w:val="28"/>
        </w:rPr>
        <w:t xml:space="preserve"> оценивание производится по </w:t>
      </w:r>
      <w:r>
        <w:rPr>
          <w:rFonts w:ascii="Times New Roman" w:hAnsi="Times New Roman" w:cs="Times New Roman"/>
          <w:sz w:val="28"/>
          <w:szCs w:val="28"/>
        </w:rPr>
        <w:t xml:space="preserve">двум</w:t>
      </w:r>
      <w:r>
        <w:rPr>
          <w:rFonts w:ascii="Times New Roman" w:hAnsi="Times New Roman" w:cs="Times New Roman"/>
          <w:sz w:val="28"/>
          <w:szCs w:val="28"/>
        </w:rPr>
        <w:t xml:space="preserve"> критериям.  0 баллов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не отражён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1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недостаточный уровень проявления критерия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2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в основном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, присутствует на отдельных этапах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3 балла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полностью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. Максимальная оценка за конкурсное испытание – </w:t>
      </w:r>
      <w:r>
        <w:rPr>
          <w:rFonts w:ascii="Times New Roman" w:hAnsi="Times New Roman" w:cs="Times New Roman"/>
          <w:b/>
          <w:sz w:val="28"/>
          <w:szCs w:val="28"/>
        </w:rPr>
        <w:t xml:space="preserve">6</w:t>
      </w:r>
      <w:r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pStyle w:val="891"/>
        <w:ind w:firstLine="708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pStyle w:val="891"/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Критерии оценивания:</w:t>
      </w:r>
      <w:r>
        <w:rPr>
          <w:rFonts w:ascii="Times New Roman" w:hAnsi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/>
          <w:b/>
          <w:color w:val="000000" w:themeColor="text1"/>
          <w:sz w:val="28"/>
          <w:szCs w:val="28"/>
        </w:rPr>
      </w:r>
    </w:p>
    <w:p>
      <w:pPr>
        <w:pStyle w:val="891"/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/>
          <w:b/>
          <w:color w:val="000000" w:themeColor="text1"/>
          <w:sz w:val="28"/>
          <w:szCs w:val="28"/>
        </w:rPr>
      </w:r>
    </w:p>
    <w:tbl>
      <w:tblPr>
        <w:tblStyle w:val="889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5670"/>
        <w:gridCol w:w="1559"/>
      </w:tblGrid>
      <w:tr>
        <w:tblPrEx/>
        <w:trPr>
          <w:trHeight w:val="308"/>
        </w:trPr>
        <w:tc>
          <w:tcPr>
            <w:tcW w:w="2127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Критерий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670" w:type="dxa"/>
            <w:vAlign w:val="center"/>
            <w:textDirection w:val="lrTb"/>
            <w:noWrap w:val="false"/>
          </w:tcPr>
          <w:p>
            <w:pPr>
              <w:pStyle w:val="89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Показатель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Динамика по показателю (количество баллов)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Отражение профессиональных взглядов и позиций конкурсанта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отражение места и роли педагога-психолога, учителя-дефектолога (учителя-логопеда) в решениисовременных задач системы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соответствие основных направлений и видовсобственной психолого-педагогической деятельноститребованиям федеральных нормативных документов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94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неординарность и творческий подход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202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Культура представления информации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грамотность речи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представление участника представителем администрации образовательного учреждения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соответствие ролика заданным параметрам (не более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минут, качественное звучание и изображение, наличие информационной заставки)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0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  <w:outlineLvl w:val="2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логичность построения ролика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gridSpan w:val="2"/>
            <w:tcW w:w="7797" w:type="dxa"/>
            <w:textDirection w:val="lrTb"/>
            <w:noWrap w:val="false"/>
          </w:tcPr>
          <w:p>
            <w:pPr>
              <w:ind w:firstLine="0"/>
              <w:tabs>
                <w:tab w:val="left" w:pos="3663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ИТОГО: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балл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891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r>
    </w:p>
    <w:p>
      <w:pPr>
        <w:pStyle w:val="891"/>
        <w:numPr>
          <w:ilvl w:val="0"/>
          <w:numId w:val="1"/>
        </w:numPr>
        <w:ind w:left="0" w:firstLine="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Основной этап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Формат, требования и критерии оценивания основного этапа Конкурса единые для всех номинаций.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Первый тур основного этапа Конкурса, конкурсное испытание «Профессиональный кейс»</w:t>
      </w:r>
      <w:r>
        <w:rPr>
          <w:rFonts w:ascii="Times New Roman" w:hAnsi="Times New Roman" w:cs="Times New Roman"/>
          <w:sz w:val="28"/>
          <w:szCs w:val="28"/>
        </w:rPr>
        <w:t xml:space="preserve"> (демонстрация участниками Конкурса профессиональной эрудиции и умения ориентироваться в психолого-педагогической информации, совре</w:t>
      </w:r>
      <w:r>
        <w:rPr>
          <w:rFonts w:ascii="Times New Roman" w:hAnsi="Times New Roman" w:cs="Times New Roman"/>
          <w:sz w:val="28"/>
          <w:szCs w:val="28"/>
        </w:rPr>
        <w:t xml:space="preserve">менных психолого-педагогических концепциях, теориях, подходах, ссылаясь на авторов и конкретные источники; оптимальность отобранных средств (форм, методов, приемов) для решения проблемной кейсовой ситуации; ясность и доказательность приводимых аргументов).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Формат: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участник решает профессиональный кейс и презентует его.Решение профессионального кейса предполагается в форме ответа, демонстрирующего анализ и оценку проблемной психолого-педагогической ситуации и её решение.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91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Регламент:</w:t>
      </w:r>
      <w:r>
        <w:rPr>
          <w:rFonts w:ascii="Times New Roman" w:hAnsi="Times New Roman" w:cs="Times New Roman"/>
          <w:sz w:val="28"/>
          <w:szCs w:val="28"/>
        </w:rPr>
        <w:t xml:space="preserve">выступление – до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10 минут, </w:t>
      </w:r>
      <w:r>
        <w:rPr>
          <w:rFonts w:ascii="Times New Roman" w:hAnsi="Times New Roman"/>
          <w:sz w:val="28"/>
          <w:szCs w:val="28"/>
        </w:rPr>
        <w:t xml:space="preserve">вопросы от экспертной комиссии – до 5 минут.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Очередность выступления конкурсантов в каждой номинации определяется жеребьевкой, проводимой на установочномвебинаре.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оценивания конкурсного испытания:</w:t>
      </w:r>
      <w:r>
        <w:rPr>
          <w:rFonts w:ascii="Times New Roman" w:hAnsi="Times New Roman" w:cs="Times New Roman"/>
          <w:sz w:val="28"/>
          <w:szCs w:val="28"/>
        </w:rPr>
        <w:t xml:space="preserve"> оценивание производится по пяти критериям.  0 баллов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не отражён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1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недостаточный уровень проявления критерия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2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в основном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, присутствует на отдельных этапах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3 балла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полностью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. Максимальная оценка за конкурсное испытание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15</w:t>
      </w:r>
      <w:r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Критерии оценивания: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tbl>
      <w:tblPr>
        <w:tblStyle w:val="889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8"/>
        <w:gridCol w:w="5387"/>
        <w:gridCol w:w="1701"/>
      </w:tblGrid>
      <w:tr>
        <w:tblPrEx/>
        <w:trPr>
          <w:trHeight w:val="406"/>
        </w:trPr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Критерий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vAlign w:val="center"/>
            <w:textDirection w:val="lrTb"/>
            <w:noWrap w:val="false"/>
          </w:tcPr>
          <w:p>
            <w:pPr>
              <w:pStyle w:val="89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Показатель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Динамика по показателю (количество баллов)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textDirection w:val="lrTb"/>
            <w:noWrap w:val="false"/>
          </w:tcPr>
          <w:p>
            <w:pPr>
              <w:ind w:firstLine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Соответствие теме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ind w:firstLine="34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олнота раскрытия темы (анализ ситуации, выявлена проблема, выделены пути решения, обозначен результат)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144"/>
        </w:trPr>
        <w:tc>
          <w:tcPr>
            <w:tcW w:w="2268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  <w:t xml:space="preserve">Результативность</w:t>
            </w:r>
            <w:r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r>
          </w:p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остижимость предложенного решения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редставленность измеримости результатов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птимальность отобранных средств (форм, методов, приемов) для решения проблемной ситуации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268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Содержательность и аргументированность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я</w:t>
            </w: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сность и доказательность аргументов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192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</w:rPr>
              <w:t xml:space="preserve">д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</w:rPr>
              <w:t xml:space="preserve">оступность психолого-педагогических рекомендаций</w:t>
            </w: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к</w:t>
            </w: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онкретность психолого-педагогических рекомендаций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268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Профессиональная компетентность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мение анализировать проблемную ситуацию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рофессиональная эрудиция и осведомленность (ориентация в психолого-педагогической информации, современных психолого-педагогических концепциях, теориях, подходах, ссылки на авторов, источники)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аличие собственных взглядов на проблему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ригинальность в подходе к анализу кейса и его решению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 xml:space="preserve">Культура речи</w:t>
            </w:r>
            <w:r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eastAsia="Calibri" w:cs="Times New Roman"/>
                <w:bCs/>
                <w:sz w:val="22"/>
                <w:szCs w:val="22"/>
              </w:rPr>
            </w:r>
          </w:p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зыковая культура (грамотность, отсутствие речевых ошибок, слов-паразитов, сленга)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орректное употребление профессиональных терминов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406"/>
        </w:trPr>
        <w:tc>
          <w:tcPr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387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ублицистичность (убедительность, понятность, логичность, лаконичность, красочность речи, отсутствие монотонности и т.п.)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gridSpan w:val="2"/>
            <w:tcW w:w="7655" w:type="dxa"/>
            <w:textDirection w:val="lrTb"/>
            <w:noWrap w:val="false"/>
          </w:tcPr>
          <w:p>
            <w:pPr>
              <w:ind w:firstLine="0"/>
              <w:tabs>
                <w:tab w:val="left" w:pos="3663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ИТОГО: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pStyle w:val="885"/>
              <w:numPr>
                <w:ilvl w:val="0"/>
                <w:numId w:val="26"/>
              </w:numPr>
              <w:ind w:left="0"/>
              <w:jc w:val="center"/>
              <w:tabs>
                <w:tab w:val="left" w:pos="3663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б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аллов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891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pStyle w:val="891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2.2.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Второй тур основного этапа Конкурса, конкурсное испытание «Мастер-класс»</w:t>
      </w:r>
      <w:r>
        <w:rPr>
          <w:rFonts w:ascii="Times New Roman" w:hAnsi="Times New Roman" w:cs="Times New Roman"/>
          <w:sz w:val="28"/>
          <w:szCs w:val="28"/>
        </w:rPr>
        <w:t xml:space="preserve">(демонстрация участниками Конкурса </w:t>
      </w:r>
      <w:r>
        <w:rPr>
          <w:rFonts w:ascii="Times New Roman" w:hAnsi="Times New Roman" w:cs="Times New Roman"/>
          <w:sz w:val="28"/>
          <w:szCs w:val="28"/>
        </w:rPr>
        <w:t xml:space="preserve">опыта реализации психолого-педагогической практики и/или инновационной технологии сопровождения образовательного процесса, оказания психолого-педагогической помощи участникам образовательных отношений, осуществляемых в рамках профессиональной деятельности)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Формат:</w:t>
      </w:r>
      <w:r>
        <w:rPr>
          <w:rFonts w:ascii="Times New Roman" w:hAnsi="Times New Roman" w:cs="Times New Roman"/>
          <w:sz w:val="28"/>
          <w:szCs w:val="28"/>
        </w:rPr>
        <w:t xml:space="preserve">учебно-методическое занятие</w:t>
      </w:r>
      <w:r>
        <w:rPr>
          <w:rFonts w:ascii="Times New Roman" w:hAnsi="Times New Roman" w:cs="Times New Roman"/>
          <w:sz w:val="28"/>
          <w:szCs w:val="28"/>
        </w:rPr>
        <w:t xml:space="preserve">, демонстрирующее опыт реализации психолого-педагогической практики и/или инновационной </w:t>
      </w:r>
      <w:r>
        <w:rPr>
          <w:rFonts w:ascii="Times New Roman" w:hAnsi="Times New Roman" w:cs="Times New Roman"/>
          <w:sz w:val="28"/>
          <w:szCs w:val="28"/>
        </w:rPr>
        <w:t xml:space="preserve">технологии сопровождения образовательного процесса, оказания психолого-педагогической помощи участникам образовательных отношений, осуществляемых в рамках профессиональной деятельности конкурсанта.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мастер-класса определяется конкурсантом самостоятельно.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Фокус-группа </w:t>
      </w:r>
      <w:r>
        <w:rPr>
          <w:rFonts w:ascii="Times New Roman" w:hAnsi="Times New Roman" w:cs="Times New Roman"/>
          <w:sz w:val="28"/>
          <w:szCs w:val="28"/>
        </w:rPr>
        <w:t xml:space="preserve">мастер-класса в количестве не более 10 человек</w:t>
      </w:r>
      <w:r>
        <w:rPr>
          <w:rFonts w:ascii="Times New Roman" w:hAnsi="Times New Roman" w:cs="Times New Roman"/>
          <w:sz w:val="28"/>
          <w:szCs w:val="28"/>
        </w:rPr>
        <w:t xml:space="preserve">, утверждается Оргкомитетом.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Очередность выступления конкурсантов в каждой номинации определяется жеребьевкой, проводимой на установочномвебинаре.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Регламент: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мастер-класс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– до 20 минут;</w:t>
      </w:r>
      <w:r>
        <w:rPr>
          <w:rFonts w:ascii="Times New Roman" w:hAnsi="Times New Roman"/>
          <w:bCs/>
          <w:sz w:val="28"/>
          <w:szCs w:val="28"/>
        </w:rPr>
        <w:t xml:space="preserve">самоанализ мастер-класса – до 3 минут; ответы на вопросы экспертной комиссии – до 7 минут.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оценивания конкурсного испытания:</w:t>
      </w:r>
      <w:r>
        <w:rPr>
          <w:rFonts w:ascii="Times New Roman" w:hAnsi="Times New Roman" w:cs="Times New Roman"/>
          <w:sz w:val="28"/>
          <w:szCs w:val="28"/>
        </w:rPr>
        <w:t xml:space="preserve"> оценивание производится по </w:t>
      </w:r>
      <w:r>
        <w:rPr>
          <w:rFonts w:ascii="Times New Roman" w:hAnsi="Times New Roman" w:cs="Times New Roman"/>
          <w:sz w:val="28"/>
          <w:szCs w:val="28"/>
        </w:rPr>
        <w:t xml:space="preserve">четырём</w:t>
      </w:r>
      <w:r>
        <w:rPr>
          <w:rFonts w:ascii="Times New Roman" w:hAnsi="Times New Roman" w:cs="Times New Roman"/>
          <w:sz w:val="28"/>
          <w:szCs w:val="28"/>
        </w:rPr>
        <w:t xml:space="preserve"> критериям.  0 баллов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не отражён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1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недостаточный уровень проявления критерия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2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в основном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, присутствует на отдельных этапах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3 балла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полностью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. Максимальная оценка за конкурсное испытание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sz w:val="28"/>
          <w:szCs w:val="28"/>
        </w:rPr>
        <w:t xml:space="preserve">2</w:t>
      </w:r>
      <w:r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Критерии оценивания: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tbl>
      <w:tblPr>
        <w:tblStyle w:val="889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5528"/>
        <w:gridCol w:w="1701"/>
      </w:tblGrid>
      <w:tr>
        <w:tblPrEx/>
        <w:trPr>
          <w:trHeight w:val="308"/>
        </w:trPr>
        <w:tc>
          <w:tcPr>
            <w:tcW w:w="2127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Критерий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vAlign w:val="center"/>
            <w:textDirection w:val="lrTb"/>
            <w:noWrap w:val="false"/>
          </w:tcPr>
          <w:p>
            <w:pPr>
              <w:pStyle w:val="89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Показатель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Динамика по показателю (количество баллов)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Соблюдение алгоритма проведения мастер-класса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бъявление темы мастер-класса, ее актуальности, практической значимости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резентация метода (приема, технологии) участникам мастер-класса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емонстрация метода (приема, технологии) с комментарием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рганизация рефлексии участников мастер-класса по использованию предложенного метода (приема, технологии)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Содержательность и обоснованность применения 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предложенного метода (технологии, приема) для решения задачи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редъявление 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теоретических оснований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и раскрытие 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сущности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метода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спользование метода адекватно поставленной цели (решаемой задаче)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767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ргументированность в использовании предложенного метода (приема, технологии) для достижения поставленной цели (для решения задачи)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28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Умение (транслировать) передавать свой опыт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мение 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активизировать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деятельность всех участников мастер-класса</w:t>
            </w:r>
            <w:r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, мотивировать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их к использованию метода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мение комментировать применение метода (технологии, приемов) (делать акценты, обращать внимание участников мастер-класса, показывать сильные или слабые стороны метода и т.п.)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421"/>
        </w:trPr>
        <w:tc>
          <w:tcPr>
            <w:tcW w:w="2127" w:type="dxa"/>
            <w:vMerge w:val="restart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Общая культура и коммуникативные качества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оздание атмосферы открытости, доброжелате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льности, сотворчества в общении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308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ладение профессиональной речью, голосом, мимикой, пантомимикой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мение удерживать предмет разговора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2127" w:type="dxa"/>
            <w:vMerge w:val="continue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5528" w:type="dxa"/>
            <w:textDirection w:val="lrTb"/>
            <w:noWrap w:val="false"/>
          </w:tcPr>
          <w:p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мение управлять незапланированными ситуациями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gridSpan w:val="2"/>
            <w:tcW w:w="7655" w:type="dxa"/>
            <w:textDirection w:val="lrTb"/>
            <w:noWrap w:val="false"/>
          </w:tcPr>
          <w:p>
            <w:pPr>
              <w:ind w:firstLine="0"/>
              <w:tabs>
                <w:tab w:val="left" w:pos="3663" w:leader="none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ИТОГО: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pStyle w:val="885"/>
              <w:numPr>
                <w:ilvl w:val="0"/>
                <w:numId w:val="27"/>
              </w:numPr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балл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891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9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2.3.</w:t>
      </w:r>
      <w:bookmarkStart w:id="0" w:name="_GoBack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Третий тур основного этапа Конкурса, </w:t>
      </w:r>
      <w:r>
        <w:rPr>
          <w:rFonts w:ascii="Times New Roman" w:hAnsi="Times New Roman" w:cs="Times New Roman"/>
          <w:b/>
          <w:sz w:val="28"/>
          <w:szCs w:val="28"/>
        </w:rPr>
        <w:t xml:space="preserve">финальное конкурсное испытание «Блиц-интервью»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30"/>
          <w:szCs w:val="30"/>
        </w:rPr>
        <w:t xml:space="preserve">демонстрация навыков и умений решения</w:t>
      </w:r>
      <w:r>
        <w:rPr>
          <w:rFonts w:ascii="Times New Roman" w:hAnsi="Times New Roman" w:cs="Times New Roman"/>
          <w:sz w:val="28"/>
          <w:szCs w:val="28"/>
        </w:rPr>
        <w:t xml:space="preserve"> актуальных вопрос</w:t>
      </w:r>
      <w:r>
        <w:rPr>
          <w:rFonts w:ascii="Times New Roman" w:hAnsi="Times New Roman" w:cs="Times New Roman"/>
          <w:sz w:val="28"/>
          <w:szCs w:val="28"/>
        </w:rPr>
        <w:t xml:space="preserve">ов</w:t>
      </w:r>
      <w:r>
        <w:rPr>
          <w:rFonts w:ascii="Times New Roman" w:hAnsi="Times New Roman" w:cs="Times New Roman"/>
          <w:sz w:val="28"/>
          <w:szCs w:val="28"/>
        </w:rPr>
        <w:t xml:space="preserve"> психолого-педагогического сопровождения образовательного процесса, способность к четкой аргументации собственного мнения, общую культуру и грамотность речи).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Формат:</w:t>
      </w:r>
      <w:r>
        <w:rPr>
          <w:rFonts w:ascii="Times New Roman" w:hAnsi="Times New Roman" w:cs="Times New Roman"/>
          <w:sz w:val="28"/>
          <w:szCs w:val="28"/>
        </w:rPr>
        <w:t xml:space="preserve"> экспресс-интервью по актуальным вопросам психолого-педагогического сопровождения образовательного процесса</w:t>
      </w:r>
      <w:r>
        <w:rPr>
          <w:rFonts w:ascii="Times New Roman" w:hAnsi="Times New Roman" w:cs="Times New Roman"/>
          <w:sz w:val="28"/>
          <w:szCs w:val="28"/>
        </w:rPr>
        <w:t xml:space="preserve">(в формате «вопрос-ответ»).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03"/>
        <w:ind w:firstLine="708"/>
        <w:jc w:val="both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Темы блиц-интервью </w:t>
      </w:r>
      <w:r>
        <w:rPr>
          <w:rFonts w:cstheme="minorBidi"/>
          <w:sz w:val="28"/>
          <w:szCs w:val="28"/>
        </w:rPr>
        <w:t xml:space="preserve">утверждаются Оргкомитетом </w:t>
      </w:r>
      <w:r>
        <w:rPr>
          <w:sz w:val="28"/>
          <w:szCs w:val="28"/>
        </w:rPr>
        <w:t xml:space="preserve">в соответствии с номинацией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онкурса.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Общение интервьюеров с </w:t>
      </w:r>
      <w:r>
        <w:rPr>
          <w:rFonts w:ascii="Times New Roman" w:hAnsi="Times New Roman"/>
          <w:sz w:val="28"/>
          <w:szCs w:val="28"/>
        </w:rPr>
        <w:t xml:space="preserve">конкурсантами</w:t>
      </w:r>
      <w:r>
        <w:rPr>
          <w:rFonts w:ascii="Times New Roman" w:hAnsi="Times New Roman"/>
          <w:sz w:val="28"/>
          <w:szCs w:val="28"/>
        </w:rPr>
        <w:t xml:space="preserve">, последовательность вопросов и ответов регулируются модератором.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85"/>
        <w:ind w:left="0" w:firstLine="708"/>
        <w:tabs>
          <w:tab w:val="left" w:pos="993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Регламент: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numPr>
          <w:ilvl w:val="0"/>
          <w:numId w:val="28"/>
        </w:numPr>
        <w:ind w:left="0" w:firstLine="708"/>
        <w:tabs>
          <w:tab w:val="left" w:pos="993" w:leader="none"/>
        </w:tabs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вопрос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эксперт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–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 минут,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85"/>
        <w:numPr>
          <w:ilvl w:val="0"/>
          <w:numId w:val="28"/>
        </w:numPr>
        <w:ind w:left="0" w:firstLine="708"/>
        <w:tabs>
          <w:tab w:val="left" w:pos="993" w:leader="none"/>
        </w:tabs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время на подготовку ответа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участником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–1 минута,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85"/>
        <w:numPr>
          <w:ilvl w:val="0"/>
          <w:numId w:val="28"/>
        </w:numPr>
        <w:ind w:left="0" w:firstLine="708"/>
        <w:tabs>
          <w:tab w:val="left" w:pos="993" w:leader="none"/>
        </w:tabs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ответ участника –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 7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минут.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85"/>
        <w:ind w:left="0" w:firstLine="708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Каждому участнику за время конкурсного испытания задается не более 15 вопросов.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  <w:r>
        <w:rPr>
          <w:rFonts w:ascii="Times New Roman" w:hAnsi="Times New Roman" w:cs="Times New Roman"/>
          <w:bCs/>
          <w:color w:val="000000"/>
          <w:sz w:val="28"/>
          <w:szCs w:val="28"/>
        </w:rPr>
      </w:r>
    </w:p>
    <w:p>
      <w:pPr>
        <w:pStyle w:val="891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оценивания конкурсного испытания:</w:t>
      </w:r>
      <w:r>
        <w:rPr>
          <w:rFonts w:ascii="Times New Roman" w:hAnsi="Times New Roman" w:cs="Times New Roman"/>
          <w:sz w:val="28"/>
          <w:szCs w:val="28"/>
        </w:rPr>
        <w:t xml:space="preserve">оценивание производится по </w:t>
      </w:r>
      <w:r>
        <w:rPr>
          <w:rFonts w:ascii="Times New Roman" w:hAnsi="Times New Roman" w:cs="Times New Roman"/>
          <w:sz w:val="28"/>
          <w:szCs w:val="28"/>
        </w:rPr>
        <w:t xml:space="preserve">четырём</w:t>
      </w:r>
      <w:r>
        <w:rPr>
          <w:rFonts w:ascii="Times New Roman" w:hAnsi="Times New Roman" w:cs="Times New Roman"/>
          <w:sz w:val="28"/>
          <w:szCs w:val="28"/>
        </w:rPr>
        <w:t xml:space="preserve"> критериям.  0 баллов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не отражён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1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недостаточный уровень проявления критерия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2 балл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в основном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, присутствует на отдельных этапах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; 3 балла – </w:t>
      </w: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критерий отражен полностью</w:t>
      </w: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. Максимальная оценка за конкурсное испытание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12</w:t>
      </w:r>
      <w:r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Критерии оценивания: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pStyle w:val="885"/>
        <w:ind w:left="0" w:firstLine="567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889"/>
        <w:tblW w:w="8931" w:type="dxa"/>
        <w:tblInd w:w="108" w:type="dxa"/>
        <w:tblLook w:val="04A0" w:firstRow="1" w:lastRow="0" w:firstColumn="1" w:lastColumn="0" w:noHBand="0" w:noVBand="1"/>
      </w:tblPr>
      <w:tblGrid>
        <w:gridCol w:w="6663"/>
        <w:gridCol w:w="2268"/>
      </w:tblGrid>
      <w:tr>
        <w:tblPrEx/>
        <w:trPr>
          <w:trHeight w:val="557"/>
        </w:trPr>
        <w:tc>
          <w:tcPr>
            <w:tcW w:w="6663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Критерий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Динамика по показателю (количество баллов)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20"/>
        </w:trPr>
        <w:tc>
          <w:tcPr>
            <w:tcW w:w="6663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Глубина раскрытия проблемы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251"/>
        </w:trPr>
        <w:tc>
          <w:tcPr>
            <w:tcW w:w="6663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Четкая аргументация собственного мнения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270"/>
        </w:trPr>
        <w:tc>
          <w:tcPr>
            <w:tcW w:w="6663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Логичность изложения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274"/>
        </w:trPr>
        <w:tc>
          <w:tcPr>
            <w:tcW w:w="6663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Общая культура и грамотность речи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0-3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>
          <w:trHeight w:val="84"/>
        </w:trPr>
        <w:tc>
          <w:tcPr>
            <w:tcW w:w="6663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ИТОГО: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балл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ов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</w:tbl>
    <w:p>
      <w:pPr>
        <w:pStyle w:val="885"/>
        <w:ind w:left="0" w:firstLine="567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left="0" w:firstLine="567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bookmarkEnd w:id="0"/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85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89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709" w:left="1701" w:header="708" w:footer="708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54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28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−"/>
      <w:lvlJc w:val="left"/>
      <w:pPr>
        <w:ind w:left="1429" w:hanging="36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34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2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1">
    <w:multiLevelType w:val="hybridMultilevel"/>
    <w:lvl w:ilvl="0">
      <w:start w:val="28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6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5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suff w:val="tab"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suff w:val="tab"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suff w:val="tab"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suff w:val="tab"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suff w:val="tab"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18">
    <w:multiLevelType w:val="hybridMultilevel"/>
    <w:lvl w:ilvl="0">
      <w:start w:val="28"/>
      <w:numFmt w:val="decimal"/>
      <w:isLgl w:val="false"/>
      <w:suff w:val="tab"/>
      <w:lvlText w:val="%1"/>
      <w:lvlJc w:val="left"/>
      <w:pPr>
        <w:ind w:left="39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1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54" w:hanging="180"/>
      </w:pPr>
    </w:lvl>
  </w:abstractNum>
  <w:abstractNum w:abstractNumId="19">
    <w:multiLevelType w:val="hybridMultilevel"/>
    <w:lvl w:ilvl="0">
      <w:start w:val="22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>
      <w:start w:val="12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−"/>
      <w:lvlJc w:val="left"/>
      <w:pPr>
        <w:ind w:left="720" w:hanging="36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>
    <w:multiLevelType w:val="hybridMultilevel"/>
    <w:lvl w:ilvl="0">
      <w:start w:val="12"/>
      <w:numFmt w:val="decimal"/>
      <w:isLgl w:val="false"/>
      <w:suff w:val="tab"/>
      <w:lvlText w:val="%1"/>
      <w:lvlJc w:val="left"/>
      <w:pPr>
        <w:ind w:left="39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1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54" w:hanging="180"/>
      </w:pPr>
    </w:lvl>
  </w:abstractNum>
  <w:abstractNum w:abstractNumId="23">
    <w:multiLevelType w:val="hybridMultilevel"/>
    <w:lvl w:ilvl="0">
      <w:start w:val="40"/>
      <w:numFmt w:val="decimal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8"/>
      <w:numFmt w:val="decimal"/>
      <w:isLgl w:val="false"/>
      <w:suff w:val="tab"/>
      <w:lvlText w:val="%1"/>
      <w:lvlJc w:val="left"/>
      <w:pPr>
        <w:ind w:left="4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1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0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80" w:hanging="180"/>
      </w:p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−"/>
      <w:lvlJc w:val="left"/>
      <w:pPr>
        <w:ind w:left="1287" w:hanging="360"/>
      </w:pPr>
      <w:rPr>
        <w:rFonts w:hint="default" w:ascii="Times New Roman" w:hAnsi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6">
    <w:multiLevelType w:val="hybridMultilevel"/>
    <w:lvl w:ilvl="0">
      <w:start w:val="15"/>
      <w:numFmt w:val="decimal"/>
      <w:isLgl w:val="false"/>
      <w:suff w:val="tab"/>
      <w:lvlText w:val="%1"/>
      <w:lvlJc w:val="left"/>
      <w:pPr>
        <w:ind w:left="39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1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54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7"/>
  </w:num>
  <w:num w:numId="4">
    <w:abstractNumId w:val="16"/>
  </w:num>
  <w:num w:numId="5">
    <w:abstractNumId w:val="8"/>
  </w:num>
  <w:num w:numId="6">
    <w:abstractNumId w:val="25"/>
  </w:num>
  <w:num w:numId="7">
    <w:abstractNumId w:val="0"/>
  </w:num>
  <w:num w:numId="8">
    <w:abstractNumId w:val="19"/>
  </w:num>
  <w:num w:numId="9">
    <w:abstractNumId w:val="23"/>
  </w:num>
  <w:num w:numId="10">
    <w:abstractNumId w:val="6"/>
  </w:num>
  <w:num w:numId="11">
    <w:abstractNumId w:val="24"/>
  </w:num>
  <w:num w:numId="12">
    <w:abstractNumId w:val="2"/>
  </w:num>
  <w:num w:numId="13">
    <w:abstractNumId w:val="11"/>
  </w:num>
  <w:num w:numId="14">
    <w:abstractNumId w:val="18"/>
  </w:num>
  <w:num w:numId="15">
    <w:abstractNumId w:val="4"/>
  </w:num>
  <w:num w:numId="16">
    <w:abstractNumId w:val="5"/>
  </w:num>
  <w:num w:numId="17">
    <w:abstractNumId w:val="14"/>
  </w:num>
  <w:num w:numId="18">
    <w:abstractNumId w:val="1"/>
  </w:num>
  <w:num w:numId="19">
    <w:abstractNumId w:val="13"/>
  </w:num>
  <w:num w:numId="20">
    <w:abstractNumId w:val="7"/>
  </w:num>
  <w:num w:numId="21">
    <w:abstractNumId w:val="9"/>
  </w:num>
  <w:num w:numId="22">
    <w:abstractNumId w:val="20"/>
  </w:num>
  <w:num w:numId="23">
    <w:abstractNumId w:val="3"/>
  </w:num>
  <w:num w:numId="24">
    <w:abstractNumId w:val="15"/>
  </w:num>
  <w:num w:numId="25">
    <w:abstractNumId w:val="12"/>
  </w:num>
  <w:num w:numId="26">
    <w:abstractNumId w:val="26"/>
  </w:num>
  <w:num w:numId="27">
    <w:abstractNumId w:val="22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9">
    <w:name w:val="Heading 1"/>
    <w:basedOn w:val="880"/>
    <w:next w:val="880"/>
    <w:link w:val="710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0">
    <w:name w:val="Heading 1 Char"/>
    <w:basedOn w:val="882"/>
    <w:link w:val="709"/>
    <w:uiPriority w:val="9"/>
    <w:rPr>
      <w:rFonts w:ascii="Arial" w:hAnsi="Arial" w:eastAsia="Arial" w:cs="Arial"/>
      <w:sz w:val="40"/>
      <w:szCs w:val="40"/>
    </w:rPr>
  </w:style>
  <w:style w:type="paragraph" w:styleId="711">
    <w:name w:val="Heading 2"/>
    <w:basedOn w:val="880"/>
    <w:next w:val="880"/>
    <w:link w:val="712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2">
    <w:name w:val="Heading 2 Char"/>
    <w:basedOn w:val="882"/>
    <w:link w:val="711"/>
    <w:uiPriority w:val="9"/>
    <w:rPr>
      <w:rFonts w:ascii="Arial" w:hAnsi="Arial" w:eastAsia="Arial" w:cs="Arial"/>
      <w:sz w:val="34"/>
    </w:rPr>
  </w:style>
  <w:style w:type="character" w:styleId="713">
    <w:name w:val="Heading 3 Char"/>
    <w:basedOn w:val="882"/>
    <w:link w:val="881"/>
    <w:uiPriority w:val="9"/>
    <w:rPr>
      <w:rFonts w:ascii="Arial" w:hAnsi="Arial" w:eastAsia="Arial" w:cs="Arial"/>
      <w:sz w:val="30"/>
      <w:szCs w:val="30"/>
    </w:rPr>
  </w:style>
  <w:style w:type="paragraph" w:styleId="714">
    <w:name w:val="Heading 4"/>
    <w:basedOn w:val="880"/>
    <w:next w:val="880"/>
    <w:link w:val="71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5">
    <w:name w:val="Heading 4 Char"/>
    <w:basedOn w:val="882"/>
    <w:link w:val="714"/>
    <w:uiPriority w:val="9"/>
    <w:rPr>
      <w:rFonts w:ascii="Arial" w:hAnsi="Arial" w:eastAsia="Arial" w:cs="Arial"/>
      <w:b/>
      <w:bCs/>
      <w:sz w:val="26"/>
      <w:szCs w:val="26"/>
    </w:rPr>
  </w:style>
  <w:style w:type="paragraph" w:styleId="716">
    <w:name w:val="Heading 5"/>
    <w:basedOn w:val="880"/>
    <w:next w:val="880"/>
    <w:link w:val="71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7">
    <w:name w:val="Heading 5 Char"/>
    <w:basedOn w:val="882"/>
    <w:link w:val="716"/>
    <w:uiPriority w:val="9"/>
    <w:rPr>
      <w:rFonts w:ascii="Arial" w:hAnsi="Arial" w:eastAsia="Arial" w:cs="Arial"/>
      <w:b/>
      <w:bCs/>
      <w:sz w:val="24"/>
      <w:szCs w:val="24"/>
    </w:rPr>
  </w:style>
  <w:style w:type="paragraph" w:styleId="718">
    <w:name w:val="Heading 6"/>
    <w:basedOn w:val="880"/>
    <w:next w:val="880"/>
    <w:link w:val="71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9">
    <w:name w:val="Heading 6 Char"/>
    <w:basedOn w:val="882"/>
    <w:link w:val="718"/>
    <w:uiPriority w:val="9"/>
    <w:rPr>
      <w:rFonts w:ascii="Arial" w:hAnsi="Arial" w:eastAsia="Arial" w:cs="Arial"/>
      <w:b/>
      <w:bCs/>
      <w:sz w:val="22"/>
      <w:szCs w:val="22"/>
    </w:rPr>
  </w:style>
  <w:style w:type="paragraph" w:styleId="720">
    <w:name w:val="Heading 7"/>
    <w:basedOn w:val="880"/>
    <w:next w:val="880"/>
    <w:link w:val="72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1">
    <w:name w:val="Heading 7 Char"/>
    <w:basedOn w:val="882"/>
    <w:link w:val="72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2">
    <w:name w:val="Heading 8"/>
    <w:basedOn w:val="880"/>
    <w:next w:val="880"/>
    <w:link w:val="72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3">
    <w:name w:val="Heading 8 Char"/>
    <w:basedOn w:val="882"/>
    <w:link w:val="722"/>
    <w:uiPriority w:val="9"/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880"/>
    <w:next w:val="880"/>
    <w:link w:val="72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>
    <w:name w:val="Heading 9 Char"/>
    <w:basedOn w:val="882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26">
    <w:name w:val="Title"/>
    <w:basedOn w:val="880"/>
    <w:next w:val="880"/>
    <w:link w:val="72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7">
    <w:name w:val="Title Char"/>
    <w:basedOn w:val="882"/>
    <w:link w:val="726"/>
    <w:uiPriority w:val="10"/>
    <w:rPr>
      <w:sz w:val="48"/>
      <w:szCs w:val="48"/>
    </w:rPr>
  </w:style>
  <w:style w:type="paragraph" w:styleId="728">
    <w:name w:val="Subtitle"/>
    <w:basedOn w:val="880"/>
    <w:next w:val="880"/>
    <w:link w:val="729"/>
    <w:uiPriority w:val="11"/>
    <w:qFormat/>
    <w:pPr>
      <w:spacing w:before="200" w:after="200"/>
    </w:pPr>
    <w:rPr>
      <w:sz w:val="24"/>
      <w:szCs w:val="24"/>
    </w:rPr>
  </w:style>
  <w:style w:type="character" w:styleId="729">
    <w:name w:val="Subtitle Char"/>
    <w:basedOn w:val="882"/>
    <w:link w:val="728"/>
    <w:uiPriority w:val="11"/>
    <w:rPr>
      <w:sz w:val="24"/>
      <w:szCs w:val="24"/>
    </w:rPr>
  </w:style>
  <w:style w:type="paragraph" w:styleId="730">
    <w:name w:val="Quote"/>
    <w:basedOn w:val="880"/>
    <w:next w:val="880"/>
    <w:link w:val="731"/>
    <w:uiPriority w:val="29"/>
    <w:qFormat/>
    <w:pPr>
      <w:ind w:left="720" w:right="720"/>
    </w:pPr>
    <w:rPr>
      <w:i/>
    </w:rPr>
  </w:style>
  <w:style w:type="character" w:styleId="731">
    <w:name w:val="Quote Char"/>
    <w:link w:val="730"/>
    <w:uiPriority w:val="29"/>
    <w:rPr>
      <w:i/>
    </w:rPr>
  </w:style>
  <w:style w:type="paragraph" w:styleId="732">
    <w:name w:val="Intense Quote"/>
    <w:basedOn w:val="880"/>
    <w:next w:val="880"/>
    <w:link w:val="73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3">
    <w:name w:val="Intense Quote Char"/>
    <w:link w:val="732"/>
    <w:uiPriority w:val="30"/>
    <w:rPr>
      <w:i/>
    </w:rPr>
  </w:style>
  <w:style w:type="character" w:styleId="734">
    <w:name w:val="Header Char"/>
    <w:basedOn w:val="882"/>
    <w:link w:val="892"/>
    <w:uiPriority w:val="99"/>
  </w:style>
  <w:style w:type="character" w:styleId="735">
    <w:name w:val="Footer Char"/>
    <w:basedOn w:val="882"/>
    <w:link w:val="894"/>
    <w:uiPriority w:val="99"/>
  </w:style>
  <w:style w:type="paragraph" w:styleId="736">
    <w:name w:val="Caption"/>
    <w:basedOn w:val="880"/>
    <w:next w:val="88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7">
    <w:name w:val="Caption Char"/>
    <w:basedOn w:val="736"/>
    <w:link w:val="894"/>
    <w:uiPriority w:val="99"/>
  </w:style>
  <w:style w:type="table" w:styleId="738">
    <w:name w:val="Table Grid Light"/>
    <w:basedOn w:val="88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>
    <w:name w:val="Plain Table 1"/>
    <w:basedOn w:val="88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>
    <w:name w:val="Plain Table 2"/>
    <w:basedOn w:val="88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1">
    <w:name w:val="Plain Table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2">
    <w:name w:val="Plain Table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Plain Table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4">
    <w:name w:val="Grid Table 1 Light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Grid Table 1 Light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1 Light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Grid Table 1 Light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1 Light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2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2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2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2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3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4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6">
    <w:name w:val="Grid Table 4 - Accent 1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7">
    <w:name w:val="Grid Table 4 - Accent 2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8">
    <w:name w:val="Grid Table 4 - Accent 3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9">
    <w:name w:val="Grid Table 4 - Accent 4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0">
    <w:name w:val="Grid Table 4 - Accent 5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1">
    <w:name w:val="Grid Table 4 - Accent 6"/>
    <w:basedOn w:val="88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2">
    <w:name w:val="Grid Table 5 Dark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3">
    <w:name w:val="Grid Table 5 Dark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4">
    <w:name w:val="Grid Table 5 Dark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5">
    <w:name w:val="Grid Table 5 Dark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76">
    <w:name w:val="Grid Table 5 Dark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77">
    <w:name w:val="Grid Table 5 Dark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9">
    <w:name w:val="Grid Table 6 Colorful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0">
    <w:name w:val="Grid Table 6 Colorful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1">
    <w:name w:val="Grid Table 6 Colorful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2">
    <w:name w:val="Grid Table 6 Colorful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3">
    <w:name w:val="Grid Table 6 Colorful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4">
    <w:name w:val="Grid Table 6 Colorful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5">
    <w:name w:val="Grid Table 6 Colorful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6">
    <w:name w:val="Grid Table 7 Colorful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7 Colorful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7 Colorful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7 Colorful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7 Colorful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List Table 1 Light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1 Light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1">
    <w:name w:val="List Table 2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2">
    <w:name w:val="List Table 2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3">
    <w:name w:val="List Table 2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4">
    <w:name w:val="List Table 2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5">
    <w:name w:val="List Table 2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6">
    <w:name w:val="List Table 2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7">
    <w:name w:val="List Table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3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3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3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3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4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5 Dark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2">
    <w:name w:val="List Table 5 Dark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5 Dark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4">
    <w:name w:val="List Table 5 Dark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5 Dark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6 Colorful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9">
    <w:name w:val="List Table 6 Colorful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0">
    <w:name w:val="List Table 6 Colorful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1">
    <w:name w:val="List Table 6 Colorful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2">
    <w:name w:val="List Table 6 Colorful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3">
    <w:name w:val="List Table 6 Colorful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4">
    <w:name w:val="List Table 6 Colorful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5">
    <w:name w:val="List Table 7 Colorful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6">
    <w:name w:val="List Table 7 Colorful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37">
    <w:name w:val="List Table 7 Colorful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38">
    <w:name w:val="List Table 7 Colorful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9">
    <w:name w:val="List Table 7 Colorful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0">
    <w:name w:val="List Table 7 Colorful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1">
    <w:name w:val="List Table 7 Colorful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2">
    <w:name w:val="Lined - Accent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3">
    <w:name w:val="Lined - Accent 1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4">
    <w:name w:val="Lined - Accent 2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5">
    <w:name w:val="Lined - Accent 3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6">
    <w:name w:val="Lined - Accent 4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7">
    <w:name w:val="Lined - Accent 5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8">
    <w:name w:val="Lined - Accent 6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9">
    <w:name w:val="Bordered &amp; Lined - Accent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0">
    <w:name w:val="Bordered &amp; Lined - Accent 1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1">
    <w:name w:val="Bordered &amp; Lined - Accent 2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2">
    <w:name w:val="Bordered &amp; Lined - Accent 3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3">
    <w:name w:val="Bordered &amp; Lined - Accent 4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4">
    <w:name w:val="Bordered &amp; Lined - Accent 5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5">
    <w:name w:val="Bordered &amp; Lined - Accent 6"/>
    <w:basedOn w:val="88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6">
    <w:name w:val="Bordered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7">
    <w:name w:val="Bordered - Accent 1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8">
    <w:name w:val="Bordered - Accent 2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9">
    <w:name w:val="Bordered - Accent 3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0">
    <w:name w:val="Bordered - Accent 4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1">
    <w:name w:val="Bordered - Accent 5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2">
    <w:name w:val="Bordered - Accent 6"/>
    <w:basedOn w:val="88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63">
    <w:name w:val="footnote text"/>
    <w:basedOn w:val="880"/>
    <w:link w:val="864"/>
    <w:uiPriority w:val="99"/>
    <w:semiHidden/>
    <w:unhideWhenUsed/>
    <w:pPr>
      <w:spacing w:after="40" w:line="240" w:lineRule="auto"/>
    </w:pPr>
    <w:rPr>
      <w:sz w:val="18"/>
    </w:rPr>
  </w:style>
  <w:style w:type="character" w:styleId="864">
    <w:name w:val="Footnote Text Char"/>
    <w:link w:val="863"/>
    <w:uiPriority w:val="99"/>
    <w:rPr>
      <w:sz w:val="18"/>
    </w:rPr>
  </w:style>
  <w:style w:type="character" w:styleId="865">
    <w:name w:val="footnote reference"/>
    <w:basedOn w:val="882"/>
    <w:uiPriority w:val="99"/>
    <w:unhideWhenUsed/>
    <w:rPr>
      <w:vertAlign w:val="superscript"/>
    </w:rPr>
  </w:style>
  <w:style w:type="paragraph" w:styleId="866">
    <w:name w:val="endnote text"/>
    <w:basedOn w:val="880"/>
    <w:link w:val="867"/>
    <w:uiPriority w:val="99"/>
    <w:semiHidden/>
    <w:unhideWhenUsed/>
    <w:pPr>
      <w:spacing w:after="0" w:line="240" w:lineRule="auto"/>
    </w:pPr>
    <w:rPr>
      <w:sz w:val="20"/>
    </w:rPr>
  </w:style>
  <w:style w:type="character" w:styleId="867">
    <w:name w:val="Endnote Text Char"/>
    <w:link w:val="866"/>
    <w:uiPriority w:val="99"/>
    <w:rPr>
      <w:sz w:val="20"/>
    </w:rPr>
  </w:style>
  <w:style w:type="character" w:styleId="868">
    <w:name w:val="endnote reference"/>
    <w:basedOn w:val="882"/>
    <w:uiPriority w:val="99"/>
    <w:semiHidden/>
    <w:unhideWhenUsed/>
    <w:rPr>
      <w:vertAlign w:val="superscript"/>
    </w:rPr>
  </w:style>
  <w:style w:type="paragraph" w:styleId="869">
    <w:name w:val="toc 1"/>
    <w:basedOn w:val="880"/>
    <w:next w:val="880"/>
    <w:uiPriority w:val="39"/>
    <w:unhideWhenUsed/>
    <w:pPr>
      <w:ind w:left="0" w:right="0" w:firstLine="0"/>
      <w:spacing w:after="57"/>
    </w:pPr>
  </w:style>
  <w:style w:type="paragraph" w:styleId="870">
    <w:name w:val="toc 2"/>
    <w:basedOn w:val="880"/>
    <w:next w:val="880"/>
    <w:uiPriority w:val="39"/>
    <w:unhideWhenUsed/>
    <w:pPr>
      <w:ind w:left="283" w:right="0" w:firstLine="0"/>
      <w:spacing w:after="57"/>
    </w:pPr>
  </w:style>
  <w:style w:type="paragraph" w:styleId="871">
    <w:name w:val="toc 3"/>
    <w:basedOn w:val="880"/>
    <w:next w:val="880"/>
    <w:uiPriority w:val="39"/>
    <w:unhideWhenUsed/>
    <w:pPr>
      <w:ind w:left="567" w:right="0" w:firstLine="0"/>
      <w:spacing w:after="57"/>
    </w:pPr>
  </w:style>
  <w:style w:type="paragraph" w:styleId="872">
    <w:name w:val="toc 4"/>
    <w:basedOn w:val="880"/>
    <w:next w:val="880"/>
    <w:uiPriority w:val="39"/>
    <w:unhideWhenUsed/>
    <w:pPr>
      <w:ind w:left="850" w:right="0" w:firstLine="0"/>
      <w:spacing w:after="57"/>
    </w:pPr>
  </w:style>
  <w:style w:type="paragraph" w:styleId="873">
    <w:name w:val="toc 5"/>
    <w:basedOn w:val="880"/>
    <w:next w:val="880"/>
    <w:uiPriority w:val="39"/>
    <w:unhideWhenUsed/>
    <w:pPr>
      <w:ind w:left="1134" w:right="0" w:firstLine="0"/>
      <w:spacing w:after="57"/>
    </w:pPr>
  </w:style>
  <w:style w:type="paragraph" w:styleId="874">
    <w:name w:val="toc 6"/>
    <w:basedOn w:val="880"/>
    <w:next w:val="880"/>
    <w:uiPriority w:val="39"/>
    <w:unhideWhenUsed/>
    <w:pPr>
      <w:ind w:left="1417" w:right="0" w:firstLine="0"/>
      <w:spacing w:after="57"/>
    </w:pPr>
  </w:style>
  <w:style w:type="paragraph" w:styleId="875">
    <w:name w:val="toc 7"/>
    <w:basedOn w:val="880"/>
    <w:next w:val="880"/>
    <w:uiPriority w:val="39"/>
    <w:unhideWhenUsed/>
    <w:pPr>
      <w:ind w:left="1701" w:right="0" w:firstLine="0"/>
      <w:spacing w:after="57"/>
    </w:pPr>
  </w:style>
  <w:style w:type="paragraph" w:styleId="876">
    <w:name w:val="toc 8"/>
    <w:basedOn w:val="880"/>
    <w:next w:val="880"/>
    <w:uiPriority w:val="39"/>
    <w:unhideWhenUsed/>
    <w:pPr>
      <w:ind w:left="1984" w:right="0" w:firstLine="0"/>
      <w:spacing w:after="57"/>
    </w:pPr>
  </w:style>
  <w:style w:type="paragraph" w:styleId="877">
    <w:name w:val="toc 9"/>
    <w:basedOn w:val="880"/>
    <w:next w:val="880"/>
    <w:uiPriority w:val="39"/>
    <w:unhideWhenUsed/>
    <w:pPr>
      <w:ind w:left="2268" w:right="0" w:firstLine="0"/>
      <w:spacing w:after="57"/>
    </w:pPr>
  </w:style>
  <w:style w:type="paragraph" w:styleId="878">
    <w:name w:val="TOC Heading"/>
    <w:uiPriority w:val="39"/>
    <w:unhideWhenUsed/>
  </w:style>
  <w:style w:type="paragraph" w:styleId="879">
    <w:name w:val="table of figures"/>
    <w:basedOn w:val="880"/>
    <w:next w:val="880"/>
    <w:uiPriority w:val="99"/>
    <w:unhideWhenUsed/>
    <w:pPr>
      <w:spacing w:after="0" w:afterAutospacing="0"/>
    </w:pPr>
  </w:style>
  <w:style w:type="paragraph" w:styleId="880" w:default="1">
    <w:name w:val="Normal"/>
    <w:qFormat/>
    <w:pPr>
      <w:ind w:firstLine="720"/>
      <w:jc w:val="both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paragraph" w:styleId="881">
    <w:name w:val="Heading 3"/>
    <w:basedOn w:val="880"/>
    <w:link w:val="897"/>
    <w:qFormat/>
    <w:pPr>
      <w:ind w:firstLine="0"/>
      <w:jc w:val="left"/>
      <w:spacing w:before="100" w:beforeAutospacing="1" w:after="100" w:afterAutospacing="1"/>
      <w:widowControl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styleId="882" w:default="1">
    <w:name w:val="Default Paragraph Font"/>
    <w:uiPriority w:val="1"/>
    <w:semiHidden/>
    <w:unhideWhenUsed/>
  </w:style>
  <w:style w:type="table" w:styleId="88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84" w:default="1">
    <w:name w:val="No List"/>
    <w:uiPriority w:val="99"/>
    <w:semiHidden/>
    <w:unhideWhenUsed/>
  </w:style>
  <w:style w:type="paragraph" w:styleId="885">
    <w:name w:val="List Paragraph"/>
    <w:basedOn w:val="880"/>
    <w:link w:val="899"/>
    <w:uiPriority w:val="34"/>
    <w:qFormat/>
    <w:pPr>
      <w:contextualSpacing/>
      <w:ind w:left="720"/>
    </w:pPr>
  </w:style>
  <w:style w:type="paragraph" w:styleId="886">
    <w:name w:val="Balloon Text"/>
    <w:basedOn w:val="880"/>
    <w:link w:val="887"/>
    <w:uiPriority w:val="99"/>
    <w:semiHidden/>
    <w:unhideWhenUsed/>
    <w:rPr>
      <w:rFonts w:ascii="Tahoma" w:hAnsi="Tahoma" w:cs="Tahoma"/>
      <w:sz w:val="16"/>
      <w:szCs w:val="16"/>
    </w:rPr>
  </w:style>
  <w:style w:type="character" w:styleId="887" w:customStyle="1">
    <w:name w:val="Текст выноски Знак"/>
    <w:basedOn w:val="882"/>
    <w:link w:val="886"/>
    <w:uiPriority w:val="99"/>
    <w:semiHidden/>
    <w:rPr>
      <w:rFonts w:ascii="Tahoma" w:hAnsi="Tahoma" w:cs="Tahoma"/>
      <w:sz w:val="16"/>
      <w:szCs w:val="16"/>
    </w:rPr>
  </w:style>
  <w:style w:type="character" w:styleId="888">
    <w:name w:val="Hyperlink"/>
    <w:basedOn w:val="882"/>
    <w:uiPriority w:val="99"/>
    <w:unhideWhenUsed/>
    <w:rPr>
      <w:color w:val="0000ff" w:themeColor="hyperlink"/>
      <w:u w:val="single"/>
    </w:rPr>
  </w:style>
  <w:style w:type="table" w:styleId="889">
    <w:name w:val="Table Grid"/>
    <w:basedOn w:val="88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890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91">
    <w:name w:val="No Spacing"/>
    <w:uiPriority w:val="1"/>
    <w:qFormat/>
    <w:pPr>
      <w:spacing w:after="0" w:line="240" w:lineRule="auto"/>
    </w:pPr>
  </w:style>
  <w:style w:type="paragraph" w:styleId="892">
    <w:name w:val="Header"/>
    <w:basedOn w:val="880"/>
    <w:link w:val="893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93" w:customStyle="1">
    <w:name w:val="Верхний колонтитул Знак"/>
    <w:basedOn w:val="882"/>
    <w:link w:val="892"/>
    <w:uiPriority w:val="99"/>
  </w:style>
  <w:style w:type="paragraph" w:styleId="894">
    <w:name w:val="Footer"/>
    <w:basedOn w:val="880"/>
    <w:link w:val="895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95" w:customStyle="1">
    <w:name w:val="Нижний колонтитул Знак"/>
    <w:basedOn w:val="882"/>
    <w:link w:val="894"/>
    <w:uiPriority w:val="99"/>
  </w:style>
  <w:style w:type="character" w:styleId="896" w:customStyle="1">
    <w:name w:val="Цветовое выделение"/>
    <w:rPr>
      <w:b/>
      <w:bCs/>
      <w:color w:val="000080"/>
      <w:sz w:val="20"/>
      <w:szCs w:val="20"/>
    </w:rPr>
  </w:style>
  <w:style w:type="character" w:styleId="897" w:customStyle="1">
    <w:name w:val="Заголовок 3 Знак"/>
    <w:basedOn w:val="882"/>
    <w:link w:val="881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898" w:customStyle="1">
    <w:name w:val="go"/>
    <w:basedOn w:val="882"/>
  </w:style>
  <w:style w:type="character" w:styleId="899" w:customStyle="1">
    <w:name w:val="Абзац списка Знак"/>
    <w:link w:val="885"/>
    <w:uiPriority w:val="34"/>
    <w:rPr>
      <w:rFonts w:ascii="Arial" w:hAnsi="Arial" w:eastAsia="Times New Roman" w:cs="Arial"/>
      <w:sz w:val="20"/>
      <w:szCs w:val="20"/>
      <w:lang w:eastAsia="ru-RU"/>
    </w:rPr>
  </w:style>
  <w:style w:type="paragraph" w:styleId="900" w:customStyle="1">
    <w:name w:val="ConsPlusTitle"/>
    <w:pPr>
      <w:spacing w:after="0" w:line="240" w:lineRule="auto"/>
      <w:widowControl w:val="off"/>
    </w:pPr>
    <w:rPr>
      <w:rFonts w:ascii="Arial" w:hAnsi="Arial" w:eastAsia="Times New Roman" w:cs="Arial"/>
      <w:b/>
      <w:bCs/>
      <w:sz w:val="20"/>
      <w:szCs w:val="20"/>
      <w:lang w:eastAsia="ru-RU"/>
    </w:rPr>
  </w:style>
  <w:style w:type="character" w:styleId="901">
    <w:name w:val="Emphasis"/>
    <w:basedOn w:val="882"/>
    <w:uiPriority w:val="20"/>
    <w:qFormat/>
    <w:rPr>
      <w:i/>
      <w:iCs/>
    </w:rPr>
  </w:style>
  <w:style w:type="paragraph" w:styleId="902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903">
    <w:name w:val="Normal (Web)"/>
    <w:basedOn w:val="880"/>
    <w:uiPriority w:val="99"/>
    <w:unhideWhenUsed/>
    <w:pPr>
      <w:ind w:firstLine="0"/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D3811E-3254-44CA-93B2-75E2209DD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kimc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revision>19</cp:revision>
  <dcterms:created xsi:type="dcterms:W3CDTF">2022-12-16T03:35:00Z</dcterms:created>
  <dcterms:modified xsi:type="dcterms:W3CDTF">2024-11-18T09:00:29Z</dcterms:modified>
</cp:coreProperties>
</file>