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B4" w:rsidRPr="00E645B4" w:rsidRDefault="00E645B4" w:rsidP="00E645B4">
      <w:pPr>
        <w:pStyle w:val="a3"/>
        <w:widowControl w:val="0"/>
        <w:jc w:val="center"/>
        <w:rPr>
          <w:sz w:val="24"/>
          <w:szCs w:val="24"/>
        </w:rPr>
      </w:pPr>
      <w:r w:rsidRPr="00E645B4">
        <w:rPr>
          <w:b/>
          <w:sz w:val="24"/>
          <w:szCs w:val="24"/>
        </w:rPr>
        <w:t>4.6. Методика доводящих карточек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При организации учебных занятий часто используются разнообразные карточки с разным назначением. Например, "вопросники", с помощью которых проверяется уровень освоения учениками определённой темы; "памятки" – для подсказки ученикам алгоритма действий; карточки с заданиями для закрепления и повторения материала. Подобные карточки являются как бы "представителями" учителя при самостоятельной работе ученика.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В особый вид карточек выделяются так называемые "доводящие карточки". Их отличие от прочих заключается в том, что они используются не для проверки уровня усвоения учениками излагаемой темы, а для обеспечения понимания этой темы.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Доводящие карточки – это набор таких вопросов и заданий, которые доводят ученика до понимания темы. Отвечая на вопросы и выполняя задания, ученик приходит к правильному пониманию своей темы. По-другому говоря, "доводящая карточка" организует процесс понимания и как бы управляет мышлением ученика.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Отсюда, в частности, следует, что вопросы и задания должны быть такими, чтобы ученик мог их выполнять не после того, как он понял изучаемую тему, а ровно наоборот – процесс выполнения заданий и ответы на вопросы должны привести к пониманию темы.</w:t>
      </w:r>
    </w:p>
    <w:p w:rsidR="003411D5" w:rsidRDefault="003411D5" w:rsidP="003411D5">
      <w:pPr>
        <w:pStyle w:val="a5"/>
        <w:widowControl w:val="0"/>
        <w:shd w:val="clear" w:color="auto" w:fill="FFFFFF"/>
        <w:spacing w:after="0" w:line="240" w:lineRule="auto"/>
        <w:ind w:left="567"/>
        <w:jc w:val="both"/>
        <w:rPr>
          <w:i/>
          <w:sz w:val="24"/>
          <w:szCs w:val="24"/>
        </w:rPr>
      </w:pPr>
      <w:r w:rsidRPr="00A14949">
        <w:rPr>
          <w:i/>
          <w:sz w:val="24"/>
          <w:szCs w:val="24"/>
        </w:rPr>
        <w:t>Вопрос</w:t>
      </w:r>
      <w:r>
        <w:rPr>
          <w:i/>
          <w:sz w:val="24"/>
          <w:szCs w:val="24"/>
        </w:rPr>
        <w:t xml:space="preserve"> 1</w:t>
      </w:r>
      <w:r w:rsidRPr="00A14949">
        <w:rPr>
          <w:i/>
          <w:sz w:val="24"/>
          <w:szCs w:val="24"/>
        </w:rPr>
        <w:t xml:space="preserve">. Для чего предназначена методика </w:t>
      </w:r>
      <w:r>
        <w:rPr>
          <w:i/>
          <w:sz w:val="24"/>
          <w:szCs w:val="24"/>
        </w:rPr>
        <w:t>доводящих карточек</w:t>
      </w:r>
      <w:r w:rsidRPr="00A14949">
        <w:rPr>
          <w:i/>
          <w:sz w:val="24"/>
          <w:szCs w:val="24"/>
        </w:rPr>
        <w:t>?</w:t>
      </w:r>
    </w:p>
    <w:p w:rsidR="003411D5" w:rsidRDefault="003411D5" w:rsidP="003411D5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A14949">
        <w:rPr>
          <w:i/>
          <w:sz w:val="24"/>
          <w:szCs w:val="24"/>
        </w:rPr>
        <w:t>Вопрос</w:t>
      </w:r>
      <w:r>
        <w:rPr>
          <w:i/>
          <w:sz w:val="24"/>
          <w:szCs w:val="24"/>
        </w:rPr>
        <w:t xml:space="preserve"> 2</w:t>
      </w:r>
      <w:r w:rsidRPr="00A1494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Что представляет собой доводящая карточка</w:t>
      </w:r>
      <w:r w:rsidRPr="00A14949">
        <w:rPr>
          <w:i/>
          <w:sz w:val="24"/>
          <w:szCs w:val="24"/>
        </w:rPr>
        <w:t>?</w:t>
      </w:r>
    </w:p>
    <w:p w:rsidR="003411D5" w:rsidRDefault="003411D5" w:rsidP="003411D5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3. Чем методика доводящих карточек отличается от других методик?</w:t>
      </w:r>
    </w:p>
    <w:p w:rsidR="00E645B4" w:rsidRPr="00E645B4" w:rsidRDefault="00E645B4" w:rsidP="00E645B4">
      <w:pPr>
        <w:pStyle w:val="2"/>
        <w:keepNext w:val="0"/>
        <w:widowControl w:val="0"/>
      </w:pPr>
      <w:r w:rsidRPr="00E645B4">
        <w:t>Пример "доводящей карточки" по теме "Теорема Пифагора"</w:t>
      </w:r>
    </w:p>
    <w:p w:rsidR="00E645B4" w:rsidRPr="003411D5" w:rsidRDefault="00E645B4" w:rsidP="00E645B4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b/>
          <w:i/>
          <w:sz w:val="20"/>
          <w:szCs w:val="20"/>
        </w:rPr>
        <w:t>Теорема:</w:t>
      </w:r>
      <w:r w:rsidRPr="003411D5">
        <w:rPr>
          <w:rFonts w:ascii="Arial" w:hAnsi="Arial" w:cs="Arial"/>
          <w:sz w:val="20"/>
          <w:szCs w:val="20"/>
        </w:rPr>
        <w:t xml:space="preserve"> В прямоугольном треугольнике сумма квадратов катетов равна квадрату гипотенузы.</w:t>
      </w:r>
    </w:p>
    <w:p w:rsidR="00E645B4" w:rsidRPr="003411D5" w:rsidRDefault="00E645B4" w:rsidP="00E645B4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i/>
          <w:sz w:val="20"/>
          <w:szCs w:val="20"/>
        </w:rPr>
      </w:pPr>
      <w:r w:rsidRPr="003411D5">
        <w:rPr>
          <w:rFonts w:ascii="Arial" w:hAnsi="Arial" w:cs="Arial"/>
          <w:b/>
          <w:i/>
          <w:sz w:val="20"/>
          <w:szCs w:val="20"/>
        </w:rPr>
        <w:t>Вопросы и задания: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Что такое прямоугольный треугольник?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Сколько катетов имеет прямоугольный треугольник?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Как называется самая большая сторона прямоугольного треугольника?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Чему равняется квадрат числа 3?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Длина одного из катетов прямоугольного треугольника равная 3. Чему равен квадрат длины этого катета?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Найди квадрат числа 4.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Длина одного из катетов прямоугольного треугольника равна 4. Чему равен квадрат длины этого катета?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Чему равна сумма квадратов чисел 3 и 4?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 прямоугольном треугольнике длина одного катета равна 3, а длина другого – 4. Чему равняется сумма квадратов длин этих катетов?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Квадрат какого числа равняется 25?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Длина гипотенузы прямоугольного треугольника равна 5. Чему равняется квадрат длины гипотенузы?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Прочитай теорему Пифагора.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Что больше: сумма квадратов чисел 3 и 4 или квадрат числа 5?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 прямоугольном треугольнике длина одного катета равна 3, а другого – 4. Длина гипотенузы равна 5. Что больше: сумма квадратов катетов или квадрат гипотенузы?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О чем теорема Пифагора?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 xml:space="preserve">В прямоугольном треугольнике длина одного катета равна </w:t>
      </w:r>
      <w:r w:rsidRPr="003411D5">
        <w:rPr>
          <w:rFonts w:ascii="Arial" w:hAnsi="Arial" w:cs="Arial"/>
          <w:i/>
          <w:sz w:val="20"/>
          <w:szCs w:val="20"/>
        </w:rPr>
        <w:t>А</w:t>
      </w:r>
      <w:r w:rsidRPr="003411D5">
        <w:rPr>
          <w:rFonts w:ascii="Arial" w:hAnsi="Arial" w:cs="Arial"/>
          <w:sz w:val="20"/>
          <w:szCs w:val="20"/>
        </w:rPr>
        <w:t xml:space="preserve">, длина другого катета – </w:t>
      </w:r>
      <w:r w:rsidRPr="003411D5">
        <w:rPr>
          <w:rFonts w:ascii="Arial" w:hAnsi="Arial" w:cs="Arial"/>
          <w:i/>
          <w:sz w:val="20"/>
          <w:szCs w:val="20"/>
        </w:rPr>
        <w:t>В</w:t>
      </w:r>
      <w:r w:rsidRPr="003411D5">
        <w:rPr>
          <w:rFonts w:ascii="Arial" w:hAnsi="Arial" w:cs="Arial"/>
          <w:sz w:val="20"/>
          <w:szCs w:val="20"/>
        </w:rPr>
        <w:t xml:space="preserve">, а длина гипотенузы – </w:t>
      </w:r>
      <w:r w:rsidRPr="003411D5">
        <w:rPr>
          <w:rFonts w:ascii="Arial" w:hAnsi="Arial" w:cs="Arial"/>
          <w:i/>
          <w:sz w:val="20"/>
          <w:szCs w:val="20"/>
        </w:rPr>
        <w:t>С</w:t>
      </w:r>
      <w:r w:rsidRPr="003411D5">
        <w:rPr>
          <w:rFonts w:ascii="Arial" w:hAnsi="Arial" w:cs="Arial"/>
          <w:sz w:val="20"/>
          <w:szCs w:val="20"/>
        </w:rPr>
        <w:t>.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а) Чему равняется сумма квадратов длин катетов?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б) Чему равняется квадрат длины гипотенузы?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в) Прочитай теорему и ответь на вопрос: что больше – сумма квадратов катетов или квадрат гипотенузы?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 прямоугольном треугольнике длина одного катета равна 6, а другого – 8.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а) Чему равняется сумма квадратов длин этих катетов?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б) Чему равняется квадрат длины гипотенузы?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в) Чему равна длина гипотенузы?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В прямоугольном треугольнике длина гипотенузы равна 5, а длина одного катета равна 3.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а) Чему равняется квадрат длины другого катета?</w:t>
      </w:r>
    </w:p>
    <w:p w:rsidR="00E645B4" w:rsidRPr="003411D5" w:rsidRDefault="00E645B4" w:rsidP="00E645B4">
      <w:pPr>
        <w:widowControl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б) Чему равна длина другого катета?</w:t>
      </w:r>
    </w:p>
    <w:p w:rsidR="00E645B4" w:rsidRPr="003411D5" w:rsidRDefault="00E645B4" w:rsidP="00E645B4">
      <w:pPr>
        <w:pStyle w:val="3"/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ind w:left="364" w:hanging="364"/>
        <w:jc w:val="both"/>
        <w:rPr>
          <w:rFonts w:ascii="Arial" w:hAnsi="Arial" w:cs="Arial"/>
          <w:sz w:val="20"/>
          <w:szCs w:val="20"/>
        </w:rPr>
      </w:pPr>
      <w:r w:rsidRPr="003411D5">
        <w:rPr>
          <w:rFonts w:ascii="Arial" w:hAnsi="Arial" w:cs="Arial"/>
          <w:sz w:val="20"/>
          <w:szCs w:val="20"/>
        </w:rPr>
        <w:t>И так далее...</w:t>
      </w:r>
    </w:p>
    <w:p w:rsidR="00E645B4" w:rsidRPr="00E645B4" w:rsidRDefault="00E645B4" w:rsidP="00E645B4">
      <w:pPr>
        <w:pStyle w:val="2"/>
        <w:keepNext w:val="0"/>
        <w:widowControl w:val="0"/>
      </w:pPr>
      <w:r w:rsidRPr="00E645B4">
        <w:t>Структура доводящей карточки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Доводящие карточки составляются из нескольких групп вопросов и заданий.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В первой группе оформляются вопросы и задания, направленные, с одной стороны, на проверку того старого материала, который необходимо знать для понимания нового. С другой стороны (и это очень важно</w:t>
      </w:r>
      <w:r w:rsidR="00AA0A9C">
        <w:rPr>
          <w:sz w:val="24"/>
          <w:szCs w:val="24"/>
        </w:rPr>
        <w:t>!</w:t>
      </w:r>
      <w:r w:rsidRPr="00E645B4">
        <w:rPr>
          <w:sz w:val="24"/>
          <w:szCs w:val="24"/>
        </w:rPr>
        <w:t xml:space="preserve">), вопросы и задания этой группы концентрируют внимание ученика на область нового </w:t>
      </w:r>
      <w:r w:rsidRPr="00E645B4">
        <w:rPr>
          <w:sz w:val="24"/>
          <w:szCs w:val="24"/>
        </w:rPr>
        <w:lastRenderedPageBreak/>
        <w:t>материала. В приведённом примере эта группа представлена первыми тремя вопросами.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Вопросы и задания следующей группы обращают внимание ученика (подчеркивают) на разные слова и словосочетания. В приведённом примере это слова: "квадрат" (4-й и 6-й вопросы), "квадрат длины катета", "квадрат гипотенузы" (5-й, 7-й, 11-й вопросы), "сумма квадратов", "сумма квадратов длин катетов" (8-й, 9-й вопросы).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Вопросы третьей группы относятся к смыслу изучаемой темы. Вопросы и задания именно этой группы обеспечивают появление акта понимания (с 13-го по 18-й пункты).</w:t>
      </w:r>
    </w:p>
    <w:p w:rsid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Далее могут последовать вопросы и задания, направленные на закрепление и углубление уже понятого материала. Особую значимость имеет внутренняя связь между пунктами. Например, неслучайно, что в пунктах 4 и 5 берётся число 3, а в пунктах 6 и 7 берётся число 4. Или, скажем, в вопросах 8, 9, 13, 14 и 18 обязательно берётся тройка чисел 3, 4 и 5.</w:t>
      </w:r>
    </w:p>
    <w:p w:rsidR="00AA0A9C" w:rsidRDefault="00AA0A9C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4. На что направлена первая группа вопросов?</w:t>
      </w:r>
    </w:p>
    <w:p w:rsidR="00AA0A9C" w:rsidRDefault="00AA0A9C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5. На что обращает внимание вторая группа вопросов?</w:t>
      </w:r>
    </w:p>
    <w:p w:rsidR="00AA0A9C" w:rsidRDefault="00AA0A9C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Вопрос 6. </w:t>
      </w:r>
      <w:r w:rsidR="00BA0B49">
        <w:rPr>
          <w:i/>
          <w:sz w:val="24"/>
          <w:szCs w:val="24"/>
        </w:rPr>
        <w:t>К чему относятся вопросы третьей группы?</w:t>
      </w:r>
    </w:p>
    <w:p w:rsidR="00BA0B49" w:rsidRDefault="00BA0B49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7. Должны ли быть вопросы на закрепление и углубление уже понятного</w:t>
      </w:r>
      <w:r w:rsidRPr="00BA0B4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материала?</w:t>
      </w:r>
    </w:p>
    <w:p w:rsidR="00E645B4" w:rsidRPr="00E645B4" w:rsidRDefault="00E645B4" w:rsidP="00E645B4">
      <w:pPr>
        <w:pStyle w:val="2"/>
        <w:keepNext w:val="0"/>
        <w:widowControl w:val="0"/>
      </w:pPr>
      <w:r w:rsidRPr="00E645B4">
        <w:t>Организация работы сводной группы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"Доводящие карточки" в основном используются при организации коллективных учебных занятий.</w:t>
      </w:r>
      <w:r w:rsidR="00F9598A">
        <w:rPr>
          <w:sz w:val="24"/>
          <w:szCs w:val="24"/>
        </w:rPr>
        <w:t xml:space="preserve"> </w:t>
      </w:r>
      <w:r w:rsidRPr="00E645B4">
        <w:rPr>
          <w:sz w:val="24"/>
          <w:szCs w:val="24"/>
        </w:rPr>
        <w:t>Разным ученикам даются для изучения карточки по неодинаковым темам. Вначале ученик самостоятельно изучает какую-либо тему по доводящей карточке, а затем проверяется у учителя.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Далее образуются пары. Новую карточку ученик изучает с помощью напарника, который её знает (освоил тему). В этом случае второй ученик играет роль проверяющего учителя. Потом напарники меняются ролями: второй ученик изучает одну из тех карточек, которая усвоена первым учеником. В этом случае первый играет роль помощника и проверяющего учителя.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После этого данная пара расходится. Каждый из напарников ищет нового товарища для изучения новых тем. И так далее, до тех пор, пока каждый ученик не изучит все карточки.</w:t>
      </w:r>
    </w:p>
    <w:p w:rsidR="00E645B4" w:rsidRP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Для координации такой работы удобно составить учётную таблицу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992"/>
        <w:gridCol w:w="992"/>
        <w:gridCol w:w="992"/>
      </w:tblGrid>
      <w:tr w:rsidR="00E645B4" w:rsidRPr="00E645B4" w:rsidTr="004132D7">
        <w:trPr>
          <w:cantSplit/>
          <w:trHeight w:val="50"/>
        </w:trPr>
        <w:tc>
          <w:tcPr>
            <w:tcW w:w="1242" w:type="dxa"/>
            <w:vMerge w:val="restart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</w:tcPr>
          <w:p w:rsidR="00E645B4" w:rsidRPr="00E645B4" w:rsidRDefault="00E645B4" w:rsidP="004132D7">
            <w:pPr>
              <w:pStyle w:val="6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645B4">
              <w:rPr>
                <w:rFonts w:ascii="Times New Roman" w:hAnsi="Times New Roman"/>
                <w:b w:val="0"/>
                <w:sz w:val="24"/>
                <w:szCs w:val="24"/>
              </w:rPr>
              <w:t>Карточки</w:t>
            </w:r>
          </w:p>
        </w:tc>
      </w:tr>
      <w:tr w:rsidR="00E645B4" w:rsidRPr="00E645B4" w:rsidTr="004132D7">
        <w:trPr>
          <w:cantSplit/>
          <w:trHeight w:val="50"/>
        </w:trPr>
        <w:tc>
          <w:tcPr>
            <w:tcW w:w="1242" w:type="dxa"/>
            <w:vMerge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Т 1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Т 2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Т 3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Т 4</w:t>
            </w:r>
          </w:p>
        </w:tc>
      </w:tr>
      <w:tr w:rsidR="00E645B4" w:rsidRPr="00E645B4" w:rsidTr="004132D7">
        <w:trPr>
          <w:trHeight w:val="50"/>
        </w:trPr>
        <w:tc>
          <w:tcPr>
            <w:tcW w:w="124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Ученик 1</w:t>
            </w:r>
          </w:p>
        </w:tc>
        <w:tc>
          <w:tcPr>
            <w:tcW w:w="993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sym w:font="Marlett" w:char="F069"/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45B4" w:rsidRPr="00E645B4" w:rsidTr="004132D7">
        <w:trPr>
          <w:trHeight w:val="50"/>
        </w:trPr>
        <w:tc>
          <w:tcPr>
            <w:tcW w:w="124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Ученик 2</w:t>
            </w:r>
          </w:p>
        </w:tc>
        <w:tc>
          <w:tcPr>
            <w:tcW w:w="993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sym w:font="Marlett" w:char="F069"/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45B4" w:rsidRPr="00E645B4" w:rsidTr="004132D7">
        <w:trPr>
          <w:trHeight w:val="50"/>
        </w:trPr>
        <w:tc>
          <w:tcPr>
            <w:tcW w:w="124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Ученик 3</w:t>
            </w:r>
          </w:p>
        </w:tc>
        <w:tc>
          <w:tcPr>
            <w:tcW w:w="993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sym w:font="Marlett" w:char="F069"/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</w:tr>
      <w:tr w:rsidR="00E645B4" w:rsidRPr="00E645B4" w:rsidTr="004132D7">
        <w:trPr>
          <w:trHeight w:val="50"/>
        </w:trPr>
        <w:tc>
          <w:tcPr>
            <w:tcW w:w="124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Ученик 4</w:t>
            </w:r>
          </w:p>
        </w:tc>
        <w:tc>
          <w:tcPr>
            <w:tcW w:w="993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sym w:font="Marlett" w:char="F069"/>
            </w:r>
          </w:p>
        </w:tc>
        <w:tc>
          <w:tcPr>
            <w:tcW w:w="992" w:type="dxa"/>
          </w:tcPr>
          <w:p w:rsidR="00E645B4" w:rsidRPr="00E645B4" w:rsidRDefault="00E645B4" w:rsidP="004132D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5B4">
              <w:rPr>
                <w:sz w:val="24"/>
                <w:szCs w:val="24"/>
              </w:rPr>
              <w:t>+</w:t>
            </w:r>
          </w:p>
        </w:tc>
      </w:tr>
    </w:tbl>
    <w:p w:rsidR="00E645B4" w:rsidRDefault="00E645B4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E645B4">
        <w:rPr>
          <w:sz w:val="24"/>
          <w:szCs w:val="24"/>
        </w:rPr>
        <w:t>Здесь знаком "+" отличаются усвоенные карточки, а знак "</w:t>
      </w:r>
      <w:r w:rsidRPr="00E645B4">
        <w:rPr>
          <w:sz w:val="24"/>
          <w:szCs w:val="24"/>
        </w:rPr>
        <w:sym w:font="Marlett" w:char="F069"/>
      </w:r>
      <w:r w:rsidRPr="00E645B4">
        <w:rPr>
          <w:sz w:val="24"/>
          <w:szCs w:val="24"/>
        </w:rPr>
        <w:t>" означает, что ученик работает над данной карточкой.</w:t>
      </w:r>
    </w:p>
    <w:p w:rsidR="00F9598A" w:rsidRDefault="00F9598A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8. Как организован начальный этап?</w:t>
      </w:r>
    </w:p>
    <w:p w:rsidR="007E45A3" w:rsidRDefault="007E45A3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9. После чего начинается работа в парах?</w:t>
      </w:r>
    </w:p>
    <w:p w:rsidR="000075B7" w:rsidRDefault="000075B7" w:rsidP="00E645B4">
      <w:pPr>
        <w:widowControl w:val="0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10. Какую роль играет напарник?</w:t>
      </w:r>
    </w:p>
    <w:p w:rsidR="00CC0D45" w:rsidRPr="00E645B4" w:rsidRDefault="00CC0D45" w:rsidP="00E645B4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Вопрос 11. Что означают отметки в табло учёта?</w:t>
      </w:r>
    </w:p>
    <w:p w:rsidR="00367123" w:rsidRDefault="00367123"/>
    <w:p w:rsidR="003411D5" w:rsidRPr="00B860F2" w:rsidRDefault="003411D5" w:rsidP="003411D5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B860F2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 xml:space="preserve">2 </w:t>
      </w:r>
      <w:r w:rsidR="00545997">
        <w:rPr>
          <w:b/>
          <w:sz w:val="24"/>
          <w:szCs w:val="24"/>
        </w:rPr>
        <w:t>уровня</w:t>
      </w:r>
      <w:r w:rsidRPr="00B860F2">
        <w:rPr>
          <w:b/>
          <w:sz w:val="24"/>
          <w:szCs w:val="24"/>
        </w:rPr>
        <w:t xml:space="preserve"> проверки изученной темы.</w:t>
      </w:r>
    </w:p>
    <w:p w:rsidR="003411D5" w:rsidRDefault="003411D5" w:rsidP="003411D5">
      <w:pPr>
        <w:pStyle w:val="a5"/>
        <w:numPr>
          <w:ilvl w:val="0"/>
          <w:numId w:val="2"/>
        </w:numPr>
        <w:tabs>
          <w:tab w:val="left" w:pos="993"/>
        </w:tabs>
        <w:ind w:left="567" w:firstLine="0"/>
      </w:pPr>
      <w:r>
        <w:t>Есть ли смысл использовать методику доводящих карточек для закрепления известной темы?</w:t>
      </w:r>
    </w:p>
    <w:p w:rsidR="000075B7" w:rsidRDefault="00F9598A" w:rsidP="000075B7">
      <w:pPr>
        <w:pStyle w:val="a5"/>
        <w:numPr>
          <w:ilvl w:val="0"/>
          <w:numId w:val="2"/>
        </w:numPr>
        <w:tabs>
          <w:tab w:val="left" w:pos="993"/>
        </w:tabs>
        <w:ind w:left="567" w:firstLine="0"/>
      </w:pPr>
      <w:r>
        <w:t>Зачем вначале работы ученики самостоятельно по карточкам изучают</w:t>
      </w:r>
      <w:r w:rsidR="000075B7">
        <w:t xml:space="preserve"> неодинаковые темы</w:t>
      </w:r>
    </w:p>
    <w:p w:rsidR="000075B7" w:rsidRDefault="000075B7" w:rsidP="000075B7">
      <w:pPr>
        <w:pStyle w:val="a5"/>
        <w:tabs>
          <w:tab w:val="left" w:pos="993"/>
        </w:tabs>
        <w:ind w:left="567"/>
      </w:pPr>
    </w:p>
    <w:p w:rsidR="000075B7" w:rsidRPr="000075B7" w:rsidRDefault="000075B7" w:rsidP="000075B7">
      <w:pPr>
        <w:pStyle w:val="a5"/>
        <w:tabs>
          <w:tab w:val="left" w:pos="993"/>
        </w:tabs>
        <w:ind w:left="567"/>
      </w:pPr>
      <w:r w:rsidRPr="000075B7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3</w:t>
      </w:r>
      <w:r w:rsidRPr="000075B7">
        <w:rPr>
          <w:b/>
          <w:sz w:val="24"/>
          <w:szCs w:val="24"/>
        </w:rPr>
        <w:t xml:space="preserve"> </w:t>
      </w:r>
      <w:r w:rsidR="00545997">
        <w:rPr>
          <w:b/>
          <w:sz w:val="24"/>
          <w:szCs w:val="24"/>
        </w:rPr>
        <w:t>уровня</w:t>
      </w:r>
      <w:bookmarkStart w:id="0" w:name="_GoBack"/>
      <w:bookmarkEnd w:id="0"/>
      <w:r w:rsidRPr="000075B7">
        <w:rPr>
          <w:b/>
          <w:sz w:val="24"/>
          <w:szCs w:val="24"/>
        </w:rPr>
        <w:t xml:space="preserve"> проверки изученной темы.</w:t>
      </w:r>
    </w:p>
    <w:p w:rsidR="00A26E40" w:rsidRDefault="00211E00" w:rsidP="00A26E40">
      <w:pPr>
        <w:pStyle w:val="a5"/>
        <w:numPr>
          <w:ilvl w:val="0"/>
          <w:numId w:val="2"/>
        </w:numPr>
        <w:tabs>
          <w:tab w:val="left" w:pos="993"/>
        </w:tabs>
        <w:ind w:left="567" w:firstLine="0"/>
        <w:jc w:val="both"/>
      </w:pPr>
      <w:r>
        <w:t xml:space="preserve">Почему ученик, </w:t>
      </w:r>
      <w:r w:rsidR="000075B7">
        <w:t>самостоятельно изучивший тему по карточке</w:t>
      </w:r>
      <w:r>
        <w:t>,</w:t>
      </w:r>
      <w:r w:rsidR="000075B7">
        <w:t xml:space="preserve"> должен следить за самостоятельностью работы по этой карточке своего напарника?</w:t>
      </w:r>
    </w:p>
    <w:p w:rsidR="00A26E40" w:rsidRDefault="00A26E40" w:rsidP="00A26E40">
      <w:pPr>
        <w:pStyle w:val="a5"/>
        <w:numPr>
          <w:ilvl w:val="0"/>
          <w:numId w:val="2"/>
        </w:numPr>
        <w:tabs>
          <w:tab w:val="left" w:pos="993"/>
        </w:tabs>
        <w:ind w:left="567" w:firstLine="0"/>
        <w:jc w:val="both"/>
      </w:pPr>
      <w:r w:rsidRPr="00FF709E">
        <w:t xml:space="preserve">Какие личностные и </w:t>
      </w:r>
      <w:proofErr w:type="spellStart"/>
      <w:r w:rsidRPr="00FF709E">
        <w:t>метапредметные</w:t>
      </w:r>
      <w:proofErr w:type="spellEnd"/>
      <w:r w:rsidRPr="00FF709E">
        <w:t xml:space="preserve"> результаты ФГОС ООО обеспечивает данная методика?</w:t>
      </w:r>
    </w:p>
    <w:sectPr w:rsidR="00A26E40" w:rsidSect="00E645B4">
      <w:headerReference w:type="default" r:id="rId7"/>
      <w:footerReference w:type="default" r:id="rId8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68D" w:rsidRDefault="00B2668D" w:rsidP="00E645B4">
      <w:pPr>
        <w:spacing w:after="0" w:line="240" w:lineRule="auto"/>
      </w:pPr>
      <w:r>
        <w:separator/>
      </w:r>
    </w:p>
  </w:endnote>
  <w:endnote w:type="continuationSeparator" w:id="0">
    <w:p w:rsidR="00B2668D" w:rsidRDefault="00B2668D" w:rsidP="00E6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8C1" w:rsidRPr="00E25955" w:rsidRDefault="007B38C1" w:rsidP="007B38C1">
    <w:pPr>
      <w:pStyle w:val="a8"/>
      <w:rPr>
        <w:i/>
        <w:sz w:val="20"/>
        <w:szCs w:val="20"/>
      </w:rPr>
    </w:pPr>
    <w:r w:rsidRPr="00E25955">
      <w:rPr>
        <w:i/>
        <w:sz w:val="20"/>
        <w:szCs w:val="20"/>
      </w:rPr>
      <w:t xml:space="preserve">Горностаев А.О. по версии книги </w:t>
    </w:r>
    <w:r w:rsidRPr="00E25955">
      <w:rPr>
        <w:bCs/>
        <w:i/>
        <w:sz w:val="20"/>
        <w:szCs w:val="20"/>
      </w:rPr>
      <w:t>М.А. </w:t>
    </w:r>
    <w:proofErr w:type="gramStart"/>
    <w:r w:rsidRPr="00E25955">
      <w:rPr>
        <w:bCs/>
        <w:i/>
        <w:sz w:val="20"/>
        <w:szCs w:val="20"/>
      </w:rPr>
      <w:t>Мкртчян</w:t>
    </w:r>
    <w:r w:rsidRPr="00E25955">
      <w:rPr>
        <w:i/>
        <w:sz w:val="20"/>
        <w:szCs w:val="20"/>
      </w:rPr>
      <w:t xml:space="preserve">  «</w:t>
    </w:r>
    <w:proofErr w:type="gramEnd"/>
    <w:r w:rsidRPr="00E25955">
      <w:rPr>
        <w:i/>
        <w:sz w:val="20"/>
        <w:szCs w:val="20"/>
      </w:rPr>
      <w:t>Становление коллективного способа обучения» : м</w:t>
    </w:r>
    <w:r w:rsidRPr="00E25955">
      <w:rPr>
        <w:bCs/>
        <w:i/>
        <w:sz w:val="20"/>
        <w:szCs w:val="20"/>
      </w:rPr>
      <w:t>онография / – Красноярск, 2010.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68D" w:rsidRDefault="00B2668D" w:rsidP="00E645B4">
      <w:pPr>
        <w:spacing w:after="0" w:line="240" w:lineRule="auto"/>
      </w:pPr>
      <w:r>
        <w:separator/>
      </w:r>
    </w:p>
  </w:footnote>
  <w:footnote w:type="continuationSeparator" w:id="0">
    <w:p w:rsidR="00B2668D" w:rsidRDefault="00B2668D" w:rsidP="00E64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8C1" w:rsidRDefault="007B38C1">
    <w:pPr>
      <w:pStyle w:val="a6"/>
    </w:pPr>
    <w:r>
      <w:t>Методики коллективных учебных занятий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5064F"/>
    <w:multiLevelType w:val="hybridMultilevel"/>
    <w:tmpl w:val="79925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B43B5"/>
    <w:multiLevelType w:val="hybridMultilevel"/>
    <w:tmpl w:val="767E2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C6EFC"/>
    <w:multiLevelType w:val="singleLevel"/>
    <w:tmpl w:val="A50E9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5B4"/>
    <w:rsid w:val="000075B7"/>
    <w:rsid w:val="001E248D"/>
    <w:rsid w:val="00211E00"/>
    <w:rsid w:val="003411D5"/>
    <w:rsid w:val="00367123"/>
    <w:rsid w:val="00545997"/>
    <w:rsid w:val="00562BE2"/>
    <w:rsid w:val="006700B8"/>
    <w:rsid w:val="006F0464"/>
    <w:rsid w:val="007B38C1"/>
    <w:rsid w:val="007E45A3"/>
    <w:rsid w:val="00A26E40"/>
    <w:rsid w:val="00AA0A9C"/>
    <w:rsid w:val="00AD6429"/>
    <w:rsid w:val="00B2668D"/>
    <w:rsid w:val="00BA0B49"/>
    <w:rsid w:val="00BF73D7"/>
    <w:rsid w:val="00CC0D45"/>
    <w:rsid w:val="00DB5DB5"/>
    <w:rsid w:val="00E645B4"/>
    <w:rsid w:val="00F42BF4"/>
    <w:rsid w:val="00F9598A"/>
    <w:rsid w:val="00FB02EB"/>
    <w:rsid w:val="00FD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232D5-8183-4410-A131-8A37A1D6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5B4"/>
    <w:pPr>
      <w:spacing w:after="200" w:line="276" w:lineRule="auto"/>
      <w:ind w:firstLine="0"/>
    </w:pPr>
    <w:rPr>
      <w:rFonts w:eastAsia="Times New Roman" w:cs="Times New Roman"/>
      <w:sz w:val="22"/>
      <w:lang w:eastAsia="ru-RU"/>
    </w:rPr>
  </w:style>
  <w:style w:type="paragraph" w:styleId="2">
    <w:name w:val="heading 2"/>
    <w:basedOn w:val="a"/>
    <w:next w:val="a"/>
    <w:link w:val="20"/>
    <w:qFormat/>
    <w:rsid w:val="00E645B4"/>
    <w:pPr>
      <w:keepNext/>
      <w:spacing w:after="0" w:line="240" w:lineRule="auto"/>
      <w:jc w:val="center"/>
      <w:outlineLvl w:val="1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E645B4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45B4"/>
    <w:rPr>
      <w:rFonts w:eastAsia="Times New Roman" w:cs="Times New Roman"/>
      <w:b/>
      <w:bCs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645B4"/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No Spacing"/>
    <w:uiPriority w:val="1"/>
    <w:qFormat/>
    <w:rsid w:val="00E645B4"/>
    <w:pPr>
      <w:ind w:firstLine="0"/>
    </w:pPr>
    <w:rPr>
      <w:rFonts w:eastAsia="Times New Roman" w:cs="Times New Roman"/>
      <w:sz w:val="22"/>
      <w:lang w:eastAsia="ru-RU"/>
    </w:rPr>
  </w:style>
  <w:style w:type="character" w:styleId="a4">
    <w:name w:val="footnote reference"/>
    <w:basedOn w:val="a0"/>
    <w:unhideWhenUsed/>
    <w:rsid w:val="00E645B4"/>
    <w:rPr>
      <w:vertAlign w:val="superscript"/>
    </w:rPr>
  </w:style>
  <w:style w:type="paragraph" w:styleId="3">
    <w:name w:val="Body Text 3"/>
    <w:basedOn w:val="a"/>
    <w:link w:val="30"/>
    <w:uiPriority w:val="99"/>
    <w:semiHidden/>
    <w:unhideWhenUsed/>
    <w:rsid w:val="00E64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645B4"/>
    <w:rPr>
      <w:rFonts w:eastAsia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2BF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0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0A9C"/>
    <w:rPr>
      <w:rFonts w:eastAsia="Times New Roman" w:cs="Times New Roman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AA0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A9C"/>
    <w:rPr>
      <w:rFonts w:eastAsia="Times New Roman" w:cs="Times New Roman"/>
      <w:sz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5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59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</dc:creator>
  <cp:keywords/>
  <dc:description/>
  <cp:lastModifiedBy>kab302_teacher</cp:lastModifiedBy>
  <cp:revision>13</cp:revision>
  <cp:lastPrinted>2019-11-01T05:46:00Z</cp:lastPrinted>
  <dcterms:created xsi:type="dcterms:W3CDTF">2015-09-20T13:23:00Z</dcterms:created>
  <dcterms:modified xsi:type="dcterms:W3CDTF">2019-11-01T05:47:00Z</dcterms:modified>
</cp:coreProperties>
</file>