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1413"/>
        <w:gridCol w:w="8080"/>
      </w:tblGrid>
      <w:tr w:rsidR="00F17CB6" w14:paraId="702D4EF8" w14:textId="77777777" w:rsidTr="00F17CB6">
        <w:tc>
          <w:tcPr>
            <w:tcW w:w="1413" w:type="dxa"/>
          </w:tcPr>
          <w:p w14:paraId="0F182AF9" w14:textId="5D568AF7" w:rsidR="00F17CB6" w:rsidRPr="00F17CB6" w:rsidRDefault="00F17CB6">
            <w:r>
              <w:t xml:space="preserve">Слайд 1 </w:t>
            </w:r>
          </w:p>
        </w:tc>
        <w:tc>
          <w:tcPr>
            <w:tcW w:w="8080" w:type="dxa"/>
          </w:tcPr>
          <w:p w14:paraId="2D35488F" w14:textId="44E691BC" w:rsidR="00F17CB6" w:rsidRDefault="00F17CB6">
            <w:r>
              <w:t>Приветствие</w:t>
            </w:r>
          </w:p>
        </w:tc>
      </w:tr>
      <w:tr w:rsidR="00F17CB6" w14:paraId="7D5301BB" w14:textId="77777777" w:rsidTr="00F17CB6">
        <w:tc>
          <w:tcPr>
            <w:tcW w:w="1413" w:type="dxa"/>
          </w:tcPr>
          <w:p w14:paraId="153B62B4" w14:textId="332EF8C1" w:rsidR="00F17CB6" w:rsidRDefault="00F17CB6">
            <w:r>
              <w:t xml:space="preserve">Слайд 2 </w:t>
            </w:r>
          </w:p>
        </w:tc>
        <w:tc>
          <w:tcPr>
            <w:tcW w:w="8080" w:type="dxa"/>
          </w:tcPr>
          <w:p w14:paraId="58E13190" w14:textId="77777777" w:rsidR="00F17CB6" w:rsidRDefault="00F17CB6">
            <w:r>
              <w:t xml:space="preserve">В начале своего выступления обозначу основные понятия по заявленной теме. </w:t>
            </w:r>
          </w:p>
          <w:p w14:paraId="4215C96E" w14:textId="77777777" w:rsidR="00594A99" w:rsidRDefault="00F17CB6" w:rsidP="00594A99">
            <w:r>
              <w:t xml:space="preserve">Начнем с главного понятия: Что же такое функциональная грамотность. </w:t>
            </w:r>
            <w:r w:rsidR="00594A99">
              <w:t xml:space="preserve">Существует множество определений понятия функциональная грамотность. На экране представлены понятия, используемые в Российской методике и международном рейтинге </w:t>
            </w:r>
            <w:r w:rsidR="00594A99">
              <w:rPr>
                <w:lang w:val="en-US"/>
              </w:rPr>
              <w:t>PISA</w:t>
            </w:r>
            <w:r w:rsidR="00594A99">
              <w:t xml:space="preserve">. </w:t>
            </w:r>
          </w:p>
          <w:p w14:paraId="2246485E" w14:textId="59B730B6" w:rsidR="00F17CB6" w:rsidRDefault="00594A99" w:rsidP="00594A99">
            <w:r>
              <w:rPr>
                <w:rFonts w:ascii="Helvetica" w:hAnsi="Helvetica" w:cs="Helvetica"/>
                <w:color w:val="555555"/>
                <w:shd w:val="clear" w:color="auto" w:fill="FFFFFF"/>
              </w:rPr>
              <w:t>Понятие «функциональная грамотность», возникло в 1957 году,</w:t>
            </w:r>
            <w:r w:rsidR="00DE1D12">
              <w:rPr>
                <w:rFonts w:ascii="Helvetica" w:hAnsi="Helvetica" w:cs="Helvetica"/>
                <w:color w:val="555555"/>
                <w:shd w:val="clear" w:color="auto" w:fill="FFFFFF"/>
              </w:rPr>
              <w:t xml:space="preserve"> </w:t>
            </w:r>
            <w:r>
              <w:rPr>
                <w:rFonts w:ascii="Helvetica" w:hAnsi="Helvetica" w:cs="Helvetica"/>
                <w:color w:val="555555"/>
                <w:shd w:val="clear" w:color="auto" w:fill="FFFFFF"/>
              </w:rPr>
              <w:t>когда ЮНЕСКО впервые предложила понятия «минимальная грамотность» и «функциональная грамотность», которые первоначально предполагали наличие базовых навыков чтения, счёта и письма, позволяющих человеку решать его простейшие жизненные задачи, связанные с его функционированием в социуме. Этот подход мы можем наблюдать и в современных трактовках. Обратите внимание на то, что ключевым содержанием представленных понятий является практико-ориентированность заданий, используемых в рамках формирования функциональной грамотности.</w:t>
            </w:r>
          </w:p>
        </w:tc>
      </w:tr>
      <w:tr w:rsidR="00F17CB6" w14:paraId="018B2F45" w14:textId="77777777" w:rsidTr="00F17CB6">
        <w:tc>
          <w:tcPr>
            <w:tcW w:w="1413" w:type="dxa"/>
          </w:tcPr>
          <w:p w14:paraId="74765CFD" w14:textId="03BDEEFE" w:rsidR="00F17CB6" w:rsidRDefault="00F17CB6">
            <w:r>
              <w:t>Слайд 3</w:t>
            </w:r>
          </w:p>
        </w:tc>
        <w:tc>
          <w:tcPr>
            <w:tcW w:w="8080" w:type="dxa"/>
          </w:tcPr>
          <w:p w14:paraId="7BDA5210" w14:textId="5926E924" w:rsidR="00F17CB6" w:rsidRPr="00F17CB6" w:rsidRDefault="00594A99">
            <w:r>
              <w:t>Функциональная грамотность включает в себя: математическую, читательскую, естественно-научную, финансовую грамотности, а также креативное мышление и глобальные компетенции.</w:t>
            </w:r>
          </w:p>
        </w:tc>
      </w:tr>
      <w:tr w:rsidR="00F17CB6" w14:paraId="2BFF9F02" w14:textId="77777777" w:rsidTr="00F17CB6">
        <w:tc>
          <w:tcPr>
            <w:tcW w:w="1413" w:type="dxa"/>
          </w:tcPr>
          <w:p w14:paraId="53A11C7E" w14:textId="1D5A3C19" w:rsidR="00F17CB6" w:rsidRDefault="00594A99">
            <w:r>
              <w:t xml:space="preserve">Слайд 4 </w:t>
            </w:r>
          </w:p>
        </w:tc>
        <w:tc>
          <w:tcPr>
            <w:tcW w:w="8080" w:type="dxa"/>
          </w:tcPr>
          <w:p w14:paraId="66CEF0FA" w14:textId="6FEFA0B4" w:rsidR="00F17CB6" w:rsidRDefault="008C4093">
            <w:r>
              <w:t>Урок математики содержит в себе глубокий потенциал для формирования каждый из указанных выше компетенций, так как каждому человеку приходится выполнять расчеты и составлять алгоритмы, применять формулы, использовать приемы геометрических измерений и построений, читать информацию, представленную в виде таблиц, диаграмм и графиков, принимать решения в ситуациях неопределенности и понимать вероятностный характер случайных событий. Специфика предмета математического знания позволяет «проинтегрировать» математику с финансовой грамотностью, что не только иллюстрирует применение математических знаний в реальной жизни каждого человека и объясняет важные понятия, актуальные для функционирования современного общества, но и создает естественную мотивационную подпитку для изучения математики.</w:t>
            </w:r>
          </w:p>
        </w:tc>
      </w:tr>
      <w:tr w:rsidR="00F17CB6" w14:paraId="7DB4A905" w14:textId="77777777" w:rsidTr="00F17CB6">
        <w:tc>
          <w:tcPr>
            <w:tcW w:w="1413" w:type="dxa"/>
          </w:tcPr>
          <w:p w14:paraId="0883D0B1" w14:textId="1FAF2DF6" w:rsidR="00F17CB6" w:rsidRDefault="008C4093">
            <w:r>
              <w:t>Слайд 5</w:t>
            </w:r>
          </w:p>
        </w:tc>
        <w:tc>
          <w:tcPr>
            <w:tcW w:w="8080" w:type="dxa"/>
          </w:tcPr>
          <w:p w14:paraId="12F8D531" w14:textId="77777777" w:rsidR="00F17CB6" w:rsidRDefault="008C4093">
            <w:r>
              <w:t xml:space="preserve">Математическая грамотность складывается из формирований следующих умений: </w:t>
            </w:r>
          </w:p>
          <w:p w14:paraId="03273955" w14:textId="77777777" w:rsidR="00435BE0" w:rsidRDefault="00435BE0">
            <w:r w:rsidRPr="00435BE0">
              <w:rPr>
                <w:b/>
                <w:bCs/>
              </w:rPr>
              <w:t>Умение «формулировать ситуации математически»</w:t>
            </w:r>
            <w:r>
              <w:t xml:space="preserve"> включает способность распознавать и выявлять возможности использовать математику, принять имеющуюся ситуацию и трансформировать ее в форму, поддающуюся математической обработке, создавать математическую модель, отражающую особенности описанной ситуации. </w:t>
            </w:r>
          </w:p>
          <w:p w14:paraId="311AD740" w14:textId="77777777" w:rsidR="00435BE0" w:rsidRDefault="00435BE0">
            <w:r w:rsidRPr="00435BE0">
              <w:rPr>
                <w:b/>
                <w:bCs/>
              </w:rPr>
              <w:t>Умение «применять математику»</w:t>
            </w:r>
            <w:r>
              <w:t xml:space="preserve"> рассматривается как способность применять математические понятия, факты, процедуры, рассуждения и инструменты для получения решения или выводов. Эта деятельность включает выполнение математических процедур, необходимых для получения результатов и математического решения (например, анализировать информацию на математических диаграммах и графиках, работать с геометрическими формами в пространстве, анализировать данные). Работать с моделью, выявлять закономерности, определять связи между величинами и формулировать математические аргументы. </w:t>
            </w:r>
          </w:p>
          <w:p w14:paraId="43E9DC49" w14:textId="327D0609" w:rsidR="00435BE0" w:rsidRDefault="00435BE0">
            <w:r w:rsidRPr="00435BE0">
              <w:rPr>
                <w:b/>
                <w:bCs/>
              </w:rPr>
              <w:t>Умение «интерпретировать»</w:t>
            </w:r>
            <w:r>
              <w:t xml:space="preserve"> подразумевает способность размышлять над математическим решением или результатами, интерпретировать и оценивать их в контексте реальной проблемы. Эта деятельность включает перевод математического решения в контекст реальной проблемы, оценивание реальности математического решения или рассуждений по отношению к контексту проблемы. Этот процесс охватывает и интерпретацию, и </w:t>
            </w:r>
            <w:proofErr w:type="gramStart"/>
            <w:r>
              <w:t>оценку  полученного</w:t>
            </w:r>
            <w:proofErr w:type="gramEnd"/>
            <w:r>
              <w:t xml:space="preserve"> решения или определение того, что результаты разумны и имеют смысл в рамках предложенной ситуации. Каждый из этих мыслительных </w:t>
            </w:r>
            <w:r>
              <w:lastRenderedPageBreak/>
              <w:t xml:space="preserve">процессов опирается на математические </w:t>
            </w:r>
            <w:r w:rsidRPr="00435BE0">
              <w:rPr>
                <w:b/>
                <w:bCs/>
              </w:rPr>
              <w:t>рассуждения</w:t>
            </w:r>
            <w:r>
              <w:t>, поэтому разработчики концепции исследования PISA дополнили их рассуждениями. Это означает, что учащимся потребуется продемонстрировать, как они умеют размышлять над аргументами, обоснованиями и выводами, над различными способами представления ситуации на языке математики, над рациональностью применяемого математического аппарата, над возможностями оценки и интерпретации полученных результатов с учетом особенностей предлагаемой ситуации.</w:t>
            </w:r>
          </w:p>
        </w:tc>
      </w:tr>
      <w:tr w:rsidR="00EC2E32" w14:paraId="4BF0E74E" w14:textId="77777777" w:rsidTr="00F17CB6">
        <w:tc>
          <w:tcPr>
            <w:tcW w:w="1413" w:type="dxa"/>
          </w:tcPr>
          <w:p w14:paraId="16C5101E" w14:textId="1CEB8D36" w:rsidR="00EC2E32" w:rsidRDefault="00EC2E32" w:rsidP="00DE12FE">
            <w:r>
              <w:lastRenderedPageBreak/>
              <w:t>Слайд</w:t>
            </w:r>
            <w:r w:rsidR="007D68B2">
              <w:t>ы</w:t>
            </w:r>
            <w:r>
              <w:t xml:space="preserve"> </w:t>
            </w:r>
            <w:r w:rsidR="00DE12FE">
              <w:t>6-7</w:t>
            </w:r>
          </w:p>
        </w:tc>
        <w:tc>
          <w:tcPr>
            <w:tcW w:w="8080" w:type="dxa"/>
          </w:tcPr>
          <w:p w14:paraId="7B3DD187" w14:textId="77777777" w:rsidR="00EC2E32" w:rsidRDefault="00EC2E32" w:rsidP="00EC2E32">
            <w:pPr>
              <w:pStyle w:val="a5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В чем же заключается проблемное поле при формировании функциональной грамотности на уроках математики?</w:t>
            </w:r>
          </w:p>
          <w:p w14:paraId="0D9C33A3" w14:textId="77777777" w:rsidR="00EC2E32" w:rsidRDefault="00EC2E32" w:rsidP="00EC2E32">
            <w:pPr>
              <w:pStyle w:val="a5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Во-первых,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обучающиеся испытывают затруднения, связанные с продуктивным чтением. Они не могут выделить существенную информацию, вопрос и данные, важные для решения задачи.</w:t>
            </w:r>
          </w:p>
          <w:p w14:paraId="3C75B6FA" w14:textId="77777777" w:rsidR="00EC2E32" w:rsidRDefault="00EC2E32" w:rsidP="00EC2E32">
            <w:pPr>
              <w:pStyle w:val="a5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Вторая и основная проблема при формировании математической функциональной грамотности: как сформулировать (переформулировать) задачу, чтобы найти тот математический аппарат, с помощью которого уже можно решить привычную математическую задачу? Оценить математические связи между событиями. Это и есть основная проблема для школьника. Кроме того, важна интерпретация результата, полученного математическими вычислениями, обратный перевод с математического языка на язык решаемой проблемной задачи.</w:t>
            </w:r>
          </w:p>
          <w:p w14:paraId="0AF96898" w14:textId="77777777" w:rsidR="00EC2E32" w:rsidRDefault="00EC2E32" w:rsidP="00EC2E32">
            <w:pPr>
              <w:pStyle w:val="a5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Если мы научимся учить этому массового школьника, то мы будем эффективной школой.</w:t>
            </w:r>
          </w:p>
          <w:p w14:paraId="1D2E458B" w14:textId="4C68A4ED" w:rsidR="00EC2E32" w:rsidRDefault="00EC2E32" w:rsidP="00EC2E32">
            <w:pPr>
              <w:pStyle w:val="a5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Понимая проблему, большинство педагогов пытается решить е</w:t>
            </w:r>
            <w:r w:rsidR="00F73681">
              <w:rPr>
                <w:rFonts w:ascii="Arial" w:hAnsi="Arial" w:cs="Arial"/>
                <w:color w:val="000000"/>
                <w:sz w:val="21"/>
                <w:szCs w:val="21"/>
              </w:rPr>
              <w:t>е, включая в свой урок практико-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ориентированные задания, множественные тексты, организует с учащимися различные проекты. </w:t>
            </w:r>
          </w:p>
          <w:p w14:paraId="132EB36D" w14:textId="77777777" w:rsidR="00EC2E32" w:rsidRDefault="00EC2E32" w:rsidP="00EC2E32">
            <w:pPr>
              <w:pStyle w:val="a5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На своих уроках я часто использую задачи с практическим содержанием. Важно научить обучающихся понимать, что реальные объекты и процессы в жизни редко принимают правильную математическую форму. Тем не менее, во всех рассматриваемых задачах можно найти подходящую математическую модель, распознать математическую составляющую в модели.</w:t>
            </w:r>
          </w:p>
          <w:p w14:paraId="01A60C7B" w14:textId="77777777" w:rsidR="00EC2E32" w:rsidRDefault="00EC2E32" w:rsidP="00EC2E32">
            <w:pPr>
              <w:pStyle w:val="a5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Типы задач, которые рассматриваем на уроках математики, описывающие реальные проблемы:</w:t>
            </w:r>
          </w:p>
          <w:p w14:paraId="5A3980C8" w14:textId="77777777" w:rsidR="00EC2E32" w:rsidRDefault="00EC2E32" w:rsidP="00EC2E32">
            <w:pPr>
              <w:pStyle w:val="a5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- повседневные дела – покупки, здоровье, приготовление еды, обмен валют, оплата счетов, туристические маршруты;</w:t>
            </w:r>
          </w:p>
          <w:p w14:paraId="6B0E580A" w14:textId="77777777" w:rsidR="00EC2E32" w:rsidRDefault="00EC2E32" w:rsidP="00EC2E32">
            <w:pPr>
              <w:pStyle w:val="a5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- трудовая деятельность – подсчеты заказа материалов, измерения;</w:t>
            </w:r>
          </w:p>
          <w:p w14:paraId="21080693" w14:textId="205465B4" w:rsidR="00EC2E32" w:rsidRDefault="00EC2E32" w:rsidP="00EC2E32">
            <w:r>
              <w:rPr>
                <w:rFonts w:ascii="Arial" w:hAnsi="Arial" w:cs="Arial"/>
                <w:color w:val="000000"/>
                <w:sz w:val="21"/>
                <w:szCs w:val="21"/>
              </w:rPr>
              <w:t>- общественная жизнь – демография, экология, прогнозы, изучение динамики социальных процессов.</w:t>
            </w:r>
          </w:p>
        </w:tc>
      </w:tr>
      <w:tr w:rsidR="00EC2E32" w14:paraId="4001FBBD" w14:textId="77777777" w:rsidTr="00F17CB6">
        <w:tc>
          <w:tcPr>
            <w:tcW w:w="1413" w:type="dxa"/>
          </w:tcPr>
          <w:p w14:paraId="73E67420" w14:textId="77777777" w:rsidR="00EC2E32" w:rsidRDefault="00EC2E32" w:rsidP="00EC2E32"/>
        </w:tc>
        <w:tc>
          <w:tcPr>
            <w:tcW w:w="8080" w:type="dxa"/>
          </w:tcPr>
          <w:p w14:paraId="6B01D2D4" w14:textId="5E1690DB" w:rsidR="00EC2E32" w:rsidRDefault="00EC2E32" w:rsidP="00EC2E32">
            <w:pPr>
              <w:pStyle w:val="a5"/>
              <w:shd w:val="clear" w:color="auto" w:fill="FFFFFF"/>
              <w:spacing w:before="0" w:beforeAutospacing="0" w:after="150" w:afterAutospacing="0"/>
            </w:pPr>
          </w:p>
        </w:tc>
      </w:tr>
      <w:tr w:rsidR="00EC2E32" w14:paraId="72083CDD" w14:textId="77777777" w:rsidTr="00F17CB6">
        <w:tc>
          <w:tcPr>
            <w:tcW w:w="1413" w:type="dxa"/>
          </w:tcPr>
          <w:p w14:paraId="27234AB8" w14:textId="77777777" w:rsidR="00EC2E32" w:rsidRDefault="00EC2E32" w:rsidP="00EC2E32"/>
        </w:tc>
        <w:tc>
          <w:tcPr>
            <w:tcW w:w="8080" w:type="dxa"/>
          </w:tcPr>
          <w:p w14:paraId="0FF62C25" w14:textId="77777777" w:rsidR="00EC2E32" w:rsidRDefault="00EC2E32" w:rsidP="00EC2E32"/>
        </w:tc>
      </w:tr>
    </w:tbl>
    <w:p w14:paraId="6B42922B" w14:textId="77777777" w:rsidR="00C667FB" w:rsidRDefault="00C667FB"/>
    <w:sectPr w:rsidR="00C66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A6F27"/>
    <w:multiLevelType w:val="hybridMultilevel"/>
    <w:tmpl w:val="F01295C0"/>
    <w:lvl w:ilvl="0" w:tplc="6DCC97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BE7C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2844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307A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F685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9E0D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8A1C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48A6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9A9B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CB6"/>
    <w:rsid w:val="00435BE0"/>
    <w:rsid w:val="00594A99"/>
    <w:rsid w:val="007D68B2"/>
    <w:rsid w:val="008C4093"/>
    <w:rsid w:val="00B60FCB"/>
    <w:rsid w:val="00C667FB"/>
    <w:rsid w:val="00DE12FE"/>
    <w:rsid w:val="00DE1D12"/>
    <w:rsid w:val="00EC2E32"/>
    <w:rsid w:val="00F17CB6"/>
    <w:rsid w:val="00F73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1F907"/>
  <w15:chartTrackingRefBased/>
  <w15:docId w15:val="{FDA81505-F15B-43B4-81E1-64C1233DE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7C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5BE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EC2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42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6514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61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722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602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3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844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Македонский</dc:creator>
  <cp:keywords/>
  <dc:description/>
  <cp:lastModifiedBy>Наталья Касьянова</cp:lastModifiedBy>
  <cp:revision>5</cp:revision>
  <dcterms:created xsi:type="dcterms:W3CDTF">2023-08-23T11:23:00Z</dcterms:created>
  <dcterms:modified xsi:type="dcterms:W3CDTF">2023-08-23T16:39:00Z</dcterms:modified>
</cp:coreProperties>
</file>